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8B5B" w14:textId="77777777" w:rsidR="00FC652B" w:rsidRPr="004C2BDA" w:rsidRDefault="00FC652B" w:rsidP="00FC652B">
      <w:pPr>
        <w:autoSpaceDE w:val="0"/>
        <w:autoSpaceDN w:val="0"/>
        <w:adjustRightInd w:val="0"/>
        <w:spacing w:after="0" w:line="240" w:lineRule="auto"/>
        <w:jc w:val="center"/>
        <w:rPr>
          <w:rFonts w:ascii="Helvetica" w:hAnsi="Helvetica" w:cs="Helvetica"/>
          <w:kern w:val="0"/>
        </w:rPr>
      </w:pPr>
    </w:p>
    <w:p w14:paraId="03E306F0" w14:textId="77777777" w:rsidR="00C573A0" w:rsidRDefault="00C573A0" w:rsidP="005E4BE4">
      <w:pPr>
        <w:autoSpaceDE w:val="0"/>
        <w:autoSpaceDN w:val="0"/>
        <w:adjustRightInd w:val="0"/>
        <w:spacing w:after="0" w:line="240" w:lineRule="auto"/>
        <w:rPr>
          <w:rFonts w:ascii="DIN Next LT" w:hAnsi="DIN Next LT" w:cs="DIN Next LT"/>
          <w:kern w:val="0"/>
          <w:sz w:val="32"/>
          <w:szCs w:val="32"/>
        </w:rPr>
      </w:pPr>
    </w:p>
    <w:p w14:paraId="0D86CFDA" w14:textId="5ADDA3D5" w:rsidR="00FC652B" w:rsidRPr="00F04A4A" w:rsidRDefault="00FC652B" w:rsidP="00FC652B">
      <w:pPr>
        <w:autoSpaceDE w:val="0"/>
        <w:autoSpaceDN w:val="0"/>
        <w:adjustRightInd w:val="0"/>
        <w:spacing w:after="0" w:line="240" w:lineRule="auto"/>
        <w:jc w:val="center"/>
        <w:rPr>
          <w:rFonts w:ascii="DIN Next LT" w:hAnsi="DIN Next LT" w:cs="DIN Next LT"/>
          <w:kern w:val="0"/>
          <w:sz w:val="32"/>
          <w:szCs w:val="32"/>
        </w:rPr>
      </w:pPr>
      <w:r w:rsidRPr="00F04A4A">
        <w:rPr>
          <w:rFonts w:ascii="DIN Next LT" w:hAnsi="DIN Next LT" w:cs="DIN Next LT"/>
          <w:kern w:val="0"/>
          <w:sz w:val="32"/>
          <w:szCs w:val="32"/>
        </w:rPr>
        <w:t xml:space="preserve">MAADEN </w:t>
      </w:r>
      <w:r w:rsidR="0017788F">
        <w:rPr>
          <w:rFonts w:ascii="DIN Next LT" w:hAnsi="DIN Next LT" w:cs="DIN Next LT"/>
          <w:kern w:val="0"/>
          <w:sz w:val="32"/>
          <w:szCs w:val="32"/>
        </w:rPr>
        <w:t>FIRST</w:t>
      </w:r>
      <w:r w:rsidRPr="00F04A4A">
        <w:rPr>
          <w:rFonts w:ascii="DIN Next LT" w:hAnsi="DIN Next LT" w:cs="DIN Next LT"/>
          <w:kern w:val="0"/>
          <w:sz w:val="32"/>
          <w:szCs w:val="32"/>
        </w:rPr>
        <w:t xml:space="preserve"> QUARTER </w:t>
      </w:r>
      <w:r w:rsidR="0017788F">
        <w:rPr>
          <w:rFonts w:ascii="DIN Next LT" w:hAnsi="DIN Next LT" w:cs="DIN Next LT"/>
          <w:kern w:val="0"/>
          <w:sz w:val="32"/>
          <w:szCs w:val="32"/>
        </w:rPr>
        <w:t>2026 FINANCIAL</w:t>
      </w:r>
      <w:r w:rsidRPr="00F04A4A">
        <w:rPr>
          <w:rFonts w:ascii="DIN Next LT" w:hAnsi="DIN Next LT" w:cs="DIN Next LT"/>
          <w:kern w:val="0"/>
          <w:sz w:val="32"/>
          <w:szCs w:val="32"/>
        </w:rPr>
        <w:t xml:space="preserve"> RESULTS</w:t>
      </w:r>
    </w:p>
    <w:p w14:paraId="07E098B8" w14:textId="77777777" w:rsidR="00FC652B" w:rsidRPr="00F04A4A" w:rsidRDefault="00FC652B" w:rsidP="00FC652B">
      <w:pPr>
        <w:autoSpaceDE w:val="0"/>
        <w:autoSpaceDN w:val="0"/>
        <w:adjustRightInd w:val="0"/>
        <w:spacing w:after="0" w:line="240" w:lineRule="auto"/>
        <w:jc w:val="both"/>
        <w:rPr>
          <w:rFonts w:ascii="DIN Next LT" w:hAnsi="DIN Next LT" w:cs="DIN Next LT"/>
          <w:kern w:val="0"/>
          <w:sz w:val="32"/>
          <w:szCs w:val="32"/>
        </w:rPr>
      </w:pPr>
    </w:p>
    <w:p w14:paraId="4E4F7900" w14:textId="007650C3" w:rsidR="00FC652B" w:rsidRPr="00282F11" w:rsidRDefault="0017788F" w:rsidP="00B5409F">
      <w:pPr>
        <w:pStyle w:val="ListParagraph"/>
        <w:numPr>
          <w:ilvl w:val="0"/>
          <w:numId w:val="7"/>
        </w:numPr>
        <w:tabs>
          <w:tab w:val="left" w:pos="220"/>
          <w:tab w:val="left" w:pos="720"/>
        </w:tabs>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kern w:val="0"/>
          <w:sz w:val="22"/>
          <w:szCs w:val="22"/>
        </w:rPr>
        <w:t>Q1</w:t>
      </w:r>
      <w:r w:rsidR="00E97FE2">
        <w:rPr>
          <w:rFonts w:ascii="DIN Next LT" w:hAnsi="DIN Next LT" w:cs="DIN Next LT"/>
          <w:kern w:val="0"/>
          <w:sz w:val="22"/>
          <w:szCs w:val="22"/>
        </w:rPr>
        <w:t xml:space="preserve"> </w:t>
      </w:r>
      <w:r w:rsidR="00FC652B" w:rsidRPr="00282F11">
        <w:rPr>
          <w:rFonts w:ascii="DIN Next LT" w:hAnsi="DIN Next LT" w:cs="DIN Next LT"/>
          <w:kern w:val="0"/>
          <w:sz w:val="22"/>
          <w:szCs w:val="22"/>
        </w:rPr>
        <w:t>202</w:t>
      </w:r>
      <w:r w:rsidRPr="00282F11">
        <w:rPr>
          <w:rFonts w:ascii="DIN Next LT" w:hAnsi="DIN Next LT" w:cs="DIN Next LT"/>
          <w:kern w:val="0"/>
          <w:sz w:val="22"/>
          <w:szCs w:val="22"/>
        </w:rPr>
        <w:t>6</w:t>
      </w:r>
      <w:r w:rsidR="00FC652B" w:rsidRPr="00282F11">
        <w:rPr>
          <w:rFonts w:ascii="DIN Next LT" w:hAnsi="DIN Next LT" w:cs="DIN Next LT"/>
          <w:kern w:val="0"/>
          <w:sz w:val="22"/>
          <w:szCs w:val="22"/>
        </w:rPr>
        <w:t xml:space="preserve"> </w:t>
      </w:r>
      <w:r w:rsidR="00282F11">
        <w:rPr>
          <w:rFonts w:ascii="DIN Next LT" w:hAnsi="DIN Next LT" w:cs="DIN Next LT"/>
          <w:b/>
          <w:bCs/>
          <w:kern w:val="0"/>
          <w:sz w:val="22"/>
          <w:szCs w:val="22"/>
        </w:rPr>
        <w:t>r</w:t>
      </w:r>
      <w:r w:rsidR="00E97FE2" w:rsidRPr="00537550">
        <w:rPr>
          <w:rFonts w:ascii="DIN Next LT" w:hAnsi="DIN Next LT" w:cs="DIN Next LT"/>
          <w:b/>
          <w:bCs/>
          <w:kern w:val="0"/>
          <w:sz w:val="22"/>
          <w:szCs w:val="22"/>
        </w:rPr>
        <w:t>evenue</w:t>
      </w:r>
      <w:r w:rsidR="00E97FE2" w:rsidRPr="00282F11">
        <w:rPr>
          <w:rFonts w:ascii="DIN Next LT" w:hAnsi="DIN Next LT" w:cs="DIN Next LT"/>
          <w:kern w:val="0"/>
          <w:sz w:val="22"/>
          <w:szCs w:val="22"/>
        </w:rPr>
        <w:t xml:space="preserve"> of $2.3B and </w:t>
      </w:r>
      <w:r w:rsidR="00FC652B" w:rsidRPr="00282F11">
        <w:rPr>
          <w:rFonts w:ascii="DIN Next LT" w:hAnsi="DIN Next LT" w:cs="DIN Next LT"/>
          <w:b/>
          <w:bCs/>
          <w:kern w:val="0"/>
          <w:sz w:val="22"/>
          <w:szCs w:val="22"/>
        </w:rPr>
        <w:t>EBITDA</w:t>
      </w:r>
      <w:r w:rsidR="00FC652B" w:rsidRPr="00537550">
        <w:rPr>
          <w:rFonts w:ascii="DIN Next LT" w:hAnsi="DIN Next LT" w:cs="DIN Next LT"/>
          <w:kern w:val="0"/>
          <w:sz w:val="22"/>
          <w:szCs w:val="22"/>
        </w:rPr>
        <w:t xml:space="preserve"> of </w:t>
      </w:r>
      <w:r w:rsidR="00B770B1" w:rsidRPr="00537550">
        <w:rPr>
          <w:rFonts w:ascii="DIN Next LT" w:hAnsi="DIN Next LT" w:cs="DIN Next LT"/>
          <w:kern w:val="0"/>
          <w:sz w:val="22"/>
          <w:szCs w:val="22"/>
        </w:rPr>
        <w:t>$</w:t>
      </w:r>
      <w:r w:rsidR="008A7B94" w:rsidRPr="00537550">
        <w:rPr>
          <w:rFonts w:ascii="DIN Next LT" w:hAnsi="DIN Next LT" w:cs="DIN Next LT"/>
          <w:kern w:val="0"/>
          <w:sz w:val="22"/>
          <w:szCs w:val="22"/>
        </w:rPr>
        <w:t>9</w:t>
      </w:r>
      <w:r w:rsidR="008A7B94">
        <w:rPr>
          <w:rFonts w:ascii="DIN Next LT" w:hAnsi="DIN Next LT" w:cs="DIN Next LT"/>
          <w:kern w:val="0"/>
          <w:sz w:val="22"/>
          <w:szCs w:val="22"/>
        </w:rPr>
        <w:t>64</w:t>
      </w:r>
      <w:r w:rsidR="008A7B94" w:rsidRPr="00537550">
        <w:rPr>
          <w:rFonts w:ascii="DIN Next LT" w:hAnsi="DIN Next LT" w:cs="DIN Next LT"/>
          <w:kern w:val="0"/>
          <w:sz w:val="22"/>
          <w:szCs w:val="22"/>
        </w:rPr>
        <w:t>M</w:t>
      </w:r>
      <w:r w:rsidR="00FC652B" w:rsidRPr="00537550">
        <w:rPr>
          <w:rFonts w:ascii="DIN Next LT" w:hAnsi="DIN Next LT" w:cs="DIN Next LT"/>
          <w:kern w:val="0"/>
          <w:sz w:val="22"/>
          <w:szCs w:val="22"/>
        </w:rPr>
        <w:t>, up 3%</w:t>
      </w:r>
      <w:r w:rsidR="00B5409F">
        <w:rPr>
          <w:rFonts w:ascii="DIN Next LT" w:hAnsi="DIN Next LT" w:cs="DIN Next LT"/>
          <w:kern w:val="0"/>
          <w:sz w:val="22"/>
          <w:szCs w:val="22"/>
        </w:rPr>
        <w:t xml:space="preserve"> and 4%</w:t>
      </w:r>
      <w:r w:rsidR="00FC652B" w:rsidRPr="00537550">
        <w:rPr>
          <w:rFonts w:ascii="DIN Next LT" w:hAnsi="DIN Next LT" w:cs="DIN Next LT"/>
          <w:kern w:val="0"/>
          <w:sz w:val="22"/>
          <w:szCs w:val="22"/>
        </w:rPr>
        <w:t xml:space="preserve"> YoY</w:t>
      </w:r>
      <w:r w:rsidR="00B5409F">
        <w:rPr>
          <w:rFonts w:ascii="DIN Next LT" w:hAnsi="DIN Next LT" w:cs="DIN Next LT"/>
          <w:kern w:val="0"/>
          <w:sz w:val="22"/>
          <w:szCs w:val="22"/>
        </w:rPr>
        <w:t xml:space="preserve"> respectively</w:t>
      </w:r>
      <w:r w:rsidR="00FC652B" w:rsidRPr="00282F11">
        <w:rPr>
          <w:rFonts w:ascii="DIN Next LT" w:hAnsi="DIN Next LT" w:cs="DIN Next LT"/>
          <w:kern w:val="0"/>
          <w:sz w:val="22"/>
          <w:szCs w:val="22"/>
        </w:rPr>
        <w:t xml:space="preserve">, with </w:t>
      </w:r>
      <w:r w:rsidR="00B5409F" w:rsidRPr="00CF1876">
        <w:rPr>
          <w:rFonts w:ascii="DIN Next LT" w:hAnsi="DIN Next LT" w:cs="DIN Next LT"/>
          <w:b/>
          <w:bCs/>
          <w:kern w:val="0"/>
          <w:sz w:val="22"/>
          <w:szCs w:val="22"/>
        </w:rPr>
        <w:t xml:space="preserve">attributable </w:t>
      </w:r>
      <w:r w:rsidR="00FC652B" w:rsidRPr="00282F11">
        <w:rPr>
          <w:rFonts w:ascii="DIN Next LT" w:hAnsi="DIN Next LT" w:cs="DIN Next LT"/>
          <w:b/>
          <w:bCs/>
          <w:kern w:val="0"/>
          <w:sz w:val="22"/>
          <w:szCs w:val="22"/>
        </w:rPr>
        <w:t>net profit</w:t>
      </w:r>
      <w:r w:rsidR="00FC652B" w:rsidRPr="00537550">
        <w:rPr>
          <w:rFonts w:ascii="DIN Next LT" w:hAnsi="DIN Next LT" w:cs="DIN Next LT"/>
          <w:kern w:val="0"/>
          <w:sz w:val="22"/>
          <w:szCs w:val="22"/>
        </w:rPr>
        <w:t xml:space="preserve"> of </w:t>
      </w:r>
      <w:r w:rsidR="00B770B1" w:rsidRPr="00537550">
        <w:rPr>
          <w:rFonts w:ascii="DIN Next LT" w:hAnsi="DIN Next LT" w:cs="DIN Next LT"/>
          <w:kern w:val="0"/>
          <w:sz w:val="22"/>
          <w:szCs w:val="22"/>
        </w:rPr>
        <w:t>$</w:t>
      </w:r>
      <w:r w:rsidR="00282F11" w:rsidRPr="00537550">
        <w:rPr>
          <w:rFonts w:ascii="DIN Next LT" w:hAnsi="DIN Next LT" w:cs="DIN Next LT"/>
          <w:kern w:val="0"/>
          <w:sz w:val="22"/>
          <w:szCs w:val="22"/>
        </w:rPr>
        <w:t>436M</w:t>
      </w:r>
      <w:r w:rsidR="00282F11" w:rsidRPr="00282F11">
        <w:rPr>
          <w:rFonts w:ascii="DIN Next LT" w:hAnsi="DIN Next LT" w:cs="DIN Next LT"/>
          <w:kern w:val="0"/>
          <w:sz w:val="22"/>
          <w:szCs w:val="22"/>
        </w:rPr>
        <w:t>, up 6% YoY.</w:t>
      </w:r>
    </w:p>
    <w:p w14:paraId="4627E705" w14:textId="07B50B78" w:rsidR="00FC652B" w:rsidRDefault="00FC652B" w:rsidP="00FC652B">
      <w:pPr>
        <w:pStyle w:val="ListParagraph"/>
        <w:numPr>
          <w:ilvl w:val="0"/>
          <w:numId w:val="7"/>
        </w:numPr>
        <w:tabs>
          <w:tab w:val="left" w:pos="220"/>
          <w:tab w:val="left" w:pos="720"/>
        </w:tabs>
        <w:autoSpaceDE w:val="0"/>
        <w:autoSpaceDN w:val="0"/>
        <w:adjustRightInd w:val="0"/>
        <w:spacing w:after="0" w:line="240" w:lineRule="auto"/>
        <w:jc w:val="both"/>
        <w:rPr>
          <w:rFonts w:ascii="DIN Next LT" w:hAnsi="DIN Next LT" w:cs="DIN Next LT"/>
          <w:kern w:val="0"/>
          <w:sz w:val="22"/>
          <w:szCs w:val="22"/>
        </w:rPr>
      </w:pPr>
      <w:r w:rsidRPr="005E4BE4">
        <w:rPr>
          <w:rFonts w:ascii="DIN Next LT" w:hAnsi="DIN Next LT" w:cs="DIN Next LT"/>
          <w:b/>
          <w:bCs/>
          <w:kern w:val="0"/>
          <w:sz w:val="22"/>
          <w:szCs w:val="22"/>
        </w:rPr>
        <w:t>DAP production</w:t>
      </w:r>
      <w:r w:rsidRPr="005E4BE4">
        <w:rPr>
          <w:rFonts w:ascii="DIN Next LT" w:hAnsi="DIN Next LT" w:cs="DIN Next LT"/>
          <w:kern w:val="0"/>
          <w:sz w:val="22"/>
          <w:szCs w:val="22"/>
        </w:rPr>
        <w:t xml:space="preserve"> of </w:t>
      </w:r>
      <w:r w:rsidR="0017788F" w:rsidRPr="005E4BE4">
        <w:rPr>
          <w:rFonts w:ascii="DIN Next LT" w:hAnsi="DIN Next LT" w:cs="DIN Next LT"/>
          <w:kern w:val="0"/>
          <w:sz w:val="22"/>
          <w:szCs w:val="22"/>
        </w:rPr>
        <w:t>1,</w:t>
      </w:r>
      <w:r w:rsidR="00D1766B" w:rsidRPr="005E4BE4">
        <w:rPr>
          <w:rFonts w:ascii="DIN Next LT" w:hAnsi="DIN Next LT" w:cs="DIN Next LT"/>
          <w:kern w:val="0"/>
          <w:sz w:val="22"/>
          <w:szCs w:val="22"/>
        </w:rPr>
        <w:t xml:space="preserve">713 </w:t>
      </w:r>
      <w:proofErr w:type="spellStart"/>
      <w:r w:rsidRPr="005E4BE4">
        <w:rPr>
          <w:rFonts w:ascii="DIN Next LT" w:hAnsi="DIN Next LT" w:cs="DIN Next LT"/>
          <w:kern w:val="0"/>
          <w:sz w:val="22"/>
          <w:szCs w:val="22"/>
        </w:rPr>
        <w:t>kmt</w:t>
      </w:r>
      <w:proofErr w:type="spellEnd"/>
      <w:r w:rsidR="0017788F" w:rsidRPr="005053E4">
        <w:rPr>
          <w:rFonts w:ascii="DIN Next LT" w:hAnsi="DIN Next LT" w:cs="DIN Next LT"/>
          <w:kern w:val="0"/>
          <w:sz w:val="22"/>
          <w:szCs w:val="22"/>
        </w:rPr>
        <w:t>, up 9</w:t>
      </w:r>
      <w:r w:rsidR="0017788F">
        <w:rPr>
          <w:rFonts w:ascii="DIN Next LT" w:hAnsi="DIN Next LT" w:cs="DIN Next LT"/>
          <w:kern w:val="0"/>
          <w:sz w:val="22"/>
          <w:szCs w:val="22"/>
        </w:rPr>
        <w:t>% YoY</w:t>
      </w:r>
      <w:r w:rsidR="006B638F">
        <w:rPr>
          <w:rFonts w:ascii="DIN Next LT" w:hAnsi="DIN Next LT" w:cs="DIN Next LT"/>
          <w:kern w:val="0"/>
          <w:sz w:val="22"/>
          <w:szCs w:val="22"/>
        </w:rPr>
        <w:t xml:space="preserve">, building </w:t>
      </w:r>
      <w:r w:rsidR="00E405F1">
        <w:rPr>
          <w:rFonts w:ascii="DIN Next LT" w:hAnsi="DIN Next LT" w:cs="DIN Next LT"/>
          <w:kern w:val="0"/>
          <w:sz w:val="22"/>
          <w:szCs w:val="22"/>
        </w:rPr>
        <w:t xml:space="preserve">on record </w:t>
      </w:r>
      <w:r w:rsidR="00841EBE">
        <w:rPr>
          <w:rFonts w:ascii="DIN Next LT" w:hAnsi="DIN Next LT" w:cs="DIN Next LT"/>
          <w:kern w:val="0"/>
          <w:sz w:val="22"/>
          <w:szCs w:val="22"/>
        </w:rPr>
        <w:t xml:space="preserve">production </w:t>
      </w:r>
      <w:r w:rsidR="00E405F1">
        <w:rPr>
          <w:rFonts w:ascii="DIN Next LT" w:hAnsi="DIN Next LT" w:cs="DIN Next LT"/>
          <w:kern w:val="0"/>
          <w:sz w:val="22"/>
          <w:szCs w:val="22"/>
        </w:rPr>
        <w:t>in 2025.</w:t>
      </w:r>
      <w:r w:rsidRPr="009F3330">
        <w:rPr>
          <w:rFonts w:ascii="DIN Next LT" w:hAnsi="DIN Next LT" w:cs="DIN Next LT"/>
          <w:kern w:val="0"/>
          <w:sz w:val="22"/>
          <w:szCs w:val="22"/>
        </w:rPr>
        <w:t xml:space="preserve"> </w:t>
      </w:r>
    </w:p>
    <w:p w14:paraId="7DCBA515" w14:textId="31BB33B5" w:rsidR="00120BF4" w:rsidRPr="009F3330" w:rsidRDefault="005E4BE4" w:rsidP="00FC652B">
      <w:pPr>
        <w:pStyle w:val="ListParagraph"/>
        <w:numPr>
          <w:ilvl w:val="0"/>
          <w:numId w:val="7"/>
        </w:numPr>
        <w:tabs>
          <w:tab w:val="left" w:pos="220"/>
          <w:tab w:val="left" w:pos="720"/>
        </w:tabs>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b/>
          <w:bCs/>
          <w:kern w:val="0"/>
          <w:sz w:val="22"/>
          <w:szCs w:val="22"/>
        </w:rPr>
        <w:t>Aluminum</w:t>
      </w:r>
      <w:r w:rsidR="00120BF4">
        <w:rPr>
          <w:rFonts w:ascii="DIN Next LT" w:hAnsi="DIN Next LT" w:cs="DIN Next LT"/>
          <w:b/>
          <w:bCs/>
          <w:kern w:val="0"/>
          <w:sz w:val="22"/>
          <w:szCs w:val="22"/>
        </w:rPr>
        <w:t xml:space="preserve"> </w:t>
      </w:r>
      <w:r w:rsidR="008A7B94">
        <w:rPr>
          <w:rFonts w:ascii="DIN Next LT" w:hAnsi="DIN Next LT" w:cs="DIN Next LT"/>
          <w:b/>
          <w:bCs/>
          <w:kern w:val="0"/>
          <w:sz w:val="22"/>
          <w:szCs w:val="22"/>
        </w:rPr>
        <w:t xml:space="preserve">production </w:t>
      </w:r>
      <w:r w:rsidR="008A7B94">
        <w:rPr>
          <w:rFonts w:ascii="DIN Next LT" w:hAnsi="DIN Next LT" w:cs="DIN Next LT"/>
          <w:kern w:val="0"/>
          <w:sz w:val="22"/>
          <w:szCs w:val="22"/>
        </w:rPr>
        <w:t xml:space="preserve">of 248kmt, </w:t>
      </w:r>
      <w:r w:rsidR="00A82E44">
        <w:rPr>
          <w:rFonts w:ascii="DIN Next LT" w:hAnsi="DIN Next LT" w:cs="DIN Next LT"/>
          <w:kern w:val="0"/>
          <w:sz w:val="22"/>
          <w:szCs w:val="22"/>
        </w:rPr>
        <w:t>stable</w:t>
      </w:r>
      <w:r w:rsidR="008A7B94">
        <w:rPr>
          <w:rFonts w:ascii="DIN Next LT" w:hAnsi="DIN Next LT" w:cs="DIN Next LT"/>
          <w:kern w:val="0"/>
          <w:sz w:val="22"/>
          <w:szCs w:val="22"/>
        </w:rPr>
        <w:t xml:space="preserve"> YoY.</w:t>
      </w:r>
    </w:p>
    <w:p w14:paraId="03D684CF" w14:textId="5E3E55DD" w:rsidR="00FC652B" w:rsidRPr="009F3330" w:rsidRDefault="008A7B94" w:rsidP="00FC652B">
      <w:pPr>
        <w:pStyle w:val="ListParagraph"/>
        <w:numPr>
          <w:ilvl w:val="0"/>
          <w:numId w:val="7"/>
        </w:numPr>
        <w:tabs>
          <w:tab w:val="left" w:pos="220"/>
          <w:tab w:val="left" w:pos="720"/>
        </w:tabs>
        <w:autoSpaceDE w:val="0"/>
        <w:autoSpaceDN w:val="0"/>
        <w:adjustRightInd w:val="0"/>
        <w:spacing w:after="0" w:line="240" w:lineRule="auto"/>
        <w:jc w:val="both"/>
        <w:rPr>
          <w:rFonts w:ascii="DIN Next LT" w:hAnsi="DIN Next LT" w:cs="DIN Next LT"/>
          <w:kern w:val="0"/>
          <w:sz w:val="22"/>
          <w:szCs w:val="22"/>
        </w:rPr>
      </w:pPr>
      <w:bookmarkStart w:id="0" w:name="OLE_LINK1"/>
      <w:r w:rsidRPr="009D7333">
        <w:rPr>
          <w:rFonts w:ascii="DIN Next LT" w:hAnsi="DIN Next LT" w:cs="DIN Next LT"/>
          <w:b/>
          <w:bCs/>
          <w:kern w:val="0"/>
          <w:sz w:val="22"/>
          <w:szCs w:val="22"/>
        </w:rPr>
        <w:t>Gold production</w:t>
      </w:r>
      <w:r>
        <w:rPr>
          <w:rFonts w:ascii="DIN Next LT" w:hAnsi="DIN Next LT" w:cs="DIN Next LT"/>
          <w:kern w:val="0"/>
          <w:sz w:val="22"/>
          <w:szCs w:val="22"/>
        </w:rPr>
        <w:t xml:space="preserve"> of 105koz, reduction of 15% </w:t>
      </w:r>
      <w:bookmarkEnd w:id="0"/>
      <w:r>
        <w:rPr>
          <w:rFonts w:ascii="DIN Next LT" w:hAnsi="DIN Next LT" w:cs="DIN Next LT"/>
          <w:kern w:val="0"/>
          <w:sz w:val="22"/>
          <w:szCs w:val="22"/>
        </w:rPr>
        <w:t xml:space="preserve">YoY </w:t>
      </w:r>
      <w:r w:rsidR="00FD1DD1">
        <w:rPr>
          <w:rFonts w:ascii="DIN Next LT" w:hAnsi="DIN Next LT" w:cs="DIN Next LT"/>
          <w:kern w:val="0"/>
          <w:sz w:val="22"/>
          <w:szCs w:val="22"/>
        </w:rPr>
        <w:t>affected by</w:t>
      </w:r>
      <w:r w:rsidR="005A21E5">
        <w:rPr>
          <w:rFonts w:ascii="DIN Next LT" w:hAnsi="DIN Next LT" w:cs="DIN Next LT"/>
          <w:kern w:val="0"/>
          <w:sz w:val="22"/>
          <w:szCs w:val="22"/>
        </w:rPr>
        <w:t xml:space="preserve"> </w:t>
      </w:r>
      <w:r>
        <w:rPr>
          <w:rFonts w:ascii="DIN Next LT" w:hAnsi="DIN Next LT" w:cs="DIN Next LT"/>
          <w:kern w:val="0"/>
          <w:sz w:val="22"/>
          <w:szCs w:val="22"/>
        </w:rPr>
        <w:t>safety stoppage.</w:t>
      </w:r>
    </w:p>
    <w:p w14:paraId="57B1B271" w14:textId="59371804" w:rsidR="00FC652B" w:rsidRPr="005C6E97" w:rsidRDefault="00FC652B" w:rsidP="005C6E97">
      <w:pPr>
        <w:tabs>
          <w:tab w:val="left" w:pos="220"/>
          <w:tab w:val="left" w:pos="720"/>
        </w:tabs>
        <w:autoSpaceDE w:val="0"/>
        <w:autoSpaceDN w:val="0"/>
        <w:adjustRightInd w:val="0"/>
        <w:spacing w:after="0" w:line="240" w:lineRule="auto"/>
        <w:ind w:left="360"/>
        <w:jc w:val="both"/>
        <w:rPr>
          <w:rFonts w:ascii="DIN Next LT" w:hAnsi="DIN Next LT" w:cs="DIN Next LT"/>
          <w:kern w:val="0"/>
          <w:sz w:val="22"/>
          <w:szCs w:val="22"/>
        </w:rPr>
      </w:pPr>
    </w:p>
    <w:p w14:paraId="5717908F" w14:textId="38059D97" w:rsidR="00FC652B" w:rsidRPr="00F04A4A" w:rsidRDefault="0053557C" w:rsidP="00FC652B">
      <w:pPr>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kern w:val="0"/>
          <w:sz w:val="22"/>
          <w:szCs w:val="22"/>
        </w:rPr>
        <w:t xml:space="preserve"> </w:t>
      </w:r>
    </w:p>
    <w:p w14:paraId="3E11B34A" w14:textId="532D6197" w:rsidR="00FC652B" w:rsidRPr="009F3330" w:rsidRDefault="00FC652B" w:rsidP="009F3330">
      <w:pPr>
        <w:autoSpaceDE w:val="0"/>
        <w:autoSpaceDN w:val="0"/>
        <w:adjustRightInd w:val="0"/>
        <w:spacing w:after="0" w:line="240" w:lineRule="auto"/>
        <w:jc w:val="both"/>
        <w:rPr>
          <w:rFonts w:ascii="DIN Next LT" w:hAnsi="DIN Next LT" w:cs="DIN Next LT"/>
          <w:kern w:val="0"/>
          <w:sz w:val="22"/>
          <w:szCs w:val="22"/>
        </w:rPr>
      </w:pPr>
      <w:r w:rsidRPr="009F3330">
        <w:rPr>
          <w:rFonts w:ascii="DIN Next LT" w:hAnsi="DIN Next LT" w:cs="DIN Next LT"/>
          <w:b/>
          <w:bCs/>
          <w:kern w:val="0"/>
          <w:sz w:val="22"/>
          <w:szCs w:val="22"/>
        </w:rPr>
        <w:t>R</w:t>
      </w:r>
      <w:r w:rsidR="008C2C9C" w:rsidRPr="009F3330">
        <w:rPr>
          <w:rFonts w:ascii="DIN Next LT" w:hAnsi="DIN Next LT" w:cs="DIN Next LT"/>
          <w:b/>
          <w:bCs/>
          <w:kern w:val="0"/>
          <w:sz w:val="22"/>
          <w:szCs w:val="22"/>
        </w:rPr>
        <w:t>iyadh</w:t>
      </w:r>
      <w:r w:rsidRPr="009F3330">
        <w:rPr>
          <w:rFonts w:ascii="DIN Next LT" w:hAnsi="DIN Next LT" w:cs="DIN Next LT"/>
          <w:b/>
          <w:bCs/>
          <w:kern w:val="0"/>
          <w:sz w:val="22"/>
          <w:szCs w:val="22"/>
        </w:rPr>
        <w:t xml:space="preserve">, </w:t>
      </w:r>
      <w:r w:rsidR="008C2C9C" w:rsidRPr="009F3330">
        <w:rPr>
          <w:rFonts w:ascii="DIN Next LT" w:hAnsi="DIN Next LT" w:cs="DIN Next LT"/>
          <w:b/>
          <w:bCs/>
          <w:kern w:val="0"/>
          <w:sz w:val="22"/>
          <w:szCs w:val="22"/>
        </w:rPr>
        <w:t>Saudi Arabia</w:t>
      </w:r>
      <w:r w:rsidR="00B30C71" w:rsidRPr="009F3330">
        <w:rPr>
          <w:rFonts w:ascii="DIN Next LT" w:hAnsi="DIN Next LT" w:cs="DIN Next LT"/>
          <w:b/>
          <w:bCs/>
          <w:kern w:val="0"/>
          <w:sz w:val="22"/>
          <w:szCs w:val="22"/>
        </w:rPr>
        <w:t>:</w:t>
      </w:r>
      <w:r w:rsidR="008C2C9C" w:rsidRPr="009F3330">
        <w:rPr>
          <w:rFonts w:ascii="DIN Next LT" w:hAnsi="DIN Next LT" w:cs="DIN Next LT"/>
          <w:b/>
          <w:bCs/>
          <w:kern w:val="0"/>
          <w:sz w:val="22"/>
          <w:szCs w:val="22"/>
        </w:rPr>
        <w:t xml:space="preserve"> </w:t>
      </w:r>
      <w:r w:rsidR="00C573A0">
        <w:rPr>
          <w:rFonts w:ascii="DIN Next LT" w:hAnsi="DIN Next LT" w:cs="DIN Next LT"/>
          <w:b/>
          <w:bCs/>
          <w:kern w:val="0"/>
          <w:sz w:val="22"/>
          <w:szCs w:val="22"/>
        </w:rPr>
        <w:t xml:space="preserve">3 </w:t>
      </w:r>
      <w:r w:rsidR="009D5E97">
        <w:rPr>
          <w:rFonts w:ascii="DIN Next LT" w:hAnsi="DIN Next LT" w:cs="DIN Next LT"/>
          <w:b/>
          <w:bCs/>
          <w:kern w:val="0"/>
          <w:sz w:val="22"/>
          <w:szCs w:val="22"/>
        </w:rPr>
        <w:t>May</w:t>
      </w:r>
      <w:r w:rsidRPr="009F3330">
        <w:rPr>
          <w:rFonts w:ascii="DIN Next LT" w:hAnsi="DIN Next LT" w:cs="DIN Next LT"/>
          <w:b/>
          <w:bCs/>
          <w:kern w:val="0"/>
          <w:sz w:val="22"/>
          <w:szCs w:val="22"/>
        </w:rPr>
        <w:t xml:space="preserve"> 2026 -</w:t>
      </w:r>
      <w:r w:rsidRPr="009F3330">
        <w:rPr>
          <w:rFonts w:ascii="DIN Next LT" w:hAnsi="DIN Next LT" w:cs="DIN Next LT"/>
          <w:kern w:val="0"/>
          <w:sz w:val="22"/>
          <w:szCs w:val="22"/>
        </w:rPr>
        <w:t xml:space="preserve"> Saudi Arabian Mining Company (“Maaden” or the “company”, 1211 on the Saudi Exchange) today reported its financial results for the </w:t>
      </w:r>
      <w:r w:rsidR="00932BBB">
        <w:rPr>
          <w:rFonts w:ascii="DIN Next LT" w:hAnsi="DIN Next LT" w:cs="DIN Next LT"/>
          <w:kern w:val="0"/>
          <w:sz w:val="22"/>
          <w:szCs w:val="22"/>
        </w:rPr>
        <w:t>first</w:t>
      </w:r>
      <w:r w:rsidRPr="009F3330">
        <w:rPr>
          <w:rFonts w:ascii="DIN Next LT" w:hAnsi="DIN Next LT" w:cs="DIN Next LT"/>
          <w:kern w:val="0"/>
          <w:sz w:val="22"/>
          <w:szCs w:val="22"/>
        </w:rPr>
        <w:t xml:space="preserve"> quarter (Q</w:t>
      </w:r>
      <w:r w:rsidR="00932BBB">
        <w:rPr>
          <w:rFonts w:ascii="DIN Next LT" w:hAnsi="DIN Next LT" w:cs="DIN Next LT"/>
          <w:kern w:val="0"/>
          <w:sz w:val="22"/>
          <w:szCs w:val="22"/>
        </w:rPr>
        <w:t xml:space="preserve">1) </w:t>
      </w:r>
      <w:r w:rsidRPr="009F3330">
        <w:rPr>
          <w:rFonts w:ascii="DIN Next LT" w:hAnsi="DIN Next LT" w:cs="DIN Next LT"/>
          <w:kern w:val="0"/>
          <w:sz w:val="22"/>
          <w:szCs w:val="22"/>
        </w:rPr>
        <w:t xml:space="preserve">period ended 31 </w:t>
      </w:r>
      <w:r w:rsidR="00932BBB">
        <w:rPr>
          <w:rFonts w:ascii="DIN Next LT" w:hAnsi="DIN Next LT" w:cs="DIN Next LT"/>
          <w:kern w:val="0"/>
          <w:sz w:val="22"/>
          <w:szCs w:val="22"/>
        </w:rPr>
        <w:t>March</w:t>
      </w:r>
      <w:r w:rsidRPr="009F3330">
        <w:rPr>
          <w:rFonts w:ascii="DIN Next LT" w:hAnsi="DIN Next LT" w:cs="DIN Next LT"/>
          <w:kern w:val="0"/>
          <w:sz w:val="22"/>
          <w:szCs w:val="22"/>
        </w:rPr>
        <w:t xml:space="preserve"> 202</w:t>
      </w:r>
      <w:r w:rsidR="00767D0E">
        <w:rPr>
          <w:rFonts w:ascii="DIN Next LT" w:hAnsi="DIN Next LT" w:cs="DIN Next LT"/>
          <w:kern w:val="0"/>
          <w:sz w:val="22"/>
          <w:szCs w:val="22"/>
        </w:rPr>
        <w:t>6</w:t>
      </w:r>
      <w:r w:rsidRPr="009F3330">
        <w:rPr>
          <w:rFonts w:ascii="DIN Next LT" w:hAnsi="DIN Next LT" w:cs="DIN Next LT"/>
          <w:kern w:val="0"/>
          <w:sz w:val="22"/>
          <w:szCs w:val="22"/>
        </w:rPr>
        <w:t xml:space="preserve">. </w:t>
      </w:r>
    </w:p>
    <w:p w14:paraId="4817E298" w14:textId="77777777" w:rsidR="00FC652B" w:rsidRPr="004C2BDA" w:rsidRDefault="00FC652B" w:rsidP="00C40F29">
      <w:pPr>
        <w:autoSpaceDE w:val="0"/>
        <w:autoSpaceDN w:val="0"/>
        <w:adjustRightInd w:val="0"/>
        <w:spacing w:after="0" w:line="240" w:lineRule="auto"/>
        <w:jc w:val="both"/>
        <w:rPr>
          <w:rFonts w:ascii="DIN Next LT" w:hAnsi="DIN Next LT" w:cs="DIN Next LT"/>
          <w:kern w:val="0"/>
          <w:sz w:val="22"/>
          <w:szCs w:val="22"/>
        </w:rPr>
      </w:pPr>
    </w:p>
    <w:p w14:paraId="2F4E211E" w14:textId="6372F728" w:rsidR="00AC0210" w:rsidRPr="00537550" w:rsidRDefault="00AC0210" w:rsidP="00282F11">
      <w:pPr>
        <w:autoSpaceDE w:val="0"/>
        <w:autoSpaceDN w:val="0"/>
        <w:adjustRightInd w:val="0"/>
        <w:spacing w:after="0" w:line="240" w:lineRule="auto"/>
        <w:jc w:val="both"/>
        <w:rPr>
          <w:rFonts w:ascii="DIN Next LT" w:hAnsi="DIN Next LT" w:cs="DIN Next LT"/>
          <w:kern w:val="0"/>
          <w:sz w:val="22"/>
          <w:szCs w:val="22"/>
        </w:rPr>
      </w:pPr>
      <w:r w:rsidRPr="00AC0210">
        <w:rPr>
          <w:rFonts w:ascii="DIN Next LT" w:hAnsi="DIN Next LT" w:cs="DIN Next LT"/>
          <w:b/>
          <w:bCs/>
          <w:kern w:val="0"/>
          <w:sz w:val="22"/>
          <w:szCs w:val="22"/>
        </w:rPr>
        <w:t xml:space="preserve">During Q1 2026, </w:t>
      </w:r>
      <w:r w:rsidRPr="00AC0210">
        <w:rPr>
          <w:rFonts w:ascii="DIN Next LT" w:hAnsi="DIN Next LT" w:cs="DIN Next LT"/>
          <w:kern w:val="0"/>
          <w:sz w:val="22"/>
          <w:szCs w:val="22"/>
        </w:rPr>
        <w:t>Maaden reported revenue of $2.3B and EBITDA of $</w:t>
      </w:r>
      <w:r w:rsidR="00B5409F" w:rsidRPr="00AC0210">
        <w:rPr>
          <w:rFonts w:ascii="DIN Next LT" w:hAnsi="DIN Next LT" w:cs="DIN Next LT"/>
          <w:kern w:val="0"/>
          <w:sz w:val="22"/>
          <w:szCs w:val="22"/>
        </w:rPr>
        <w:t>9</w:t>
      </w:r>
      <w:r w:rsidR="00B5409F">
        <w:rPr>
          <w:rFonts w:ascii="DIN Next LT" w:hAnsi="DIN Next LT" w:cs="DIN Next LT"/>
          <w:kern w:val="0"/>
          <w:sz w:val="22"/>
          <w:szCs w:val="22"/>
        </w:rPr>
        <w:t>64</w:t>
      </w:r>
      <w:r w:rsidR="00B5409F" w:rsidRPr="00AC0210">
        <w:rPr>
          <w:rFonts w:ascii="DIN Next LT" w:hAnsi="DIN Next LT" w:cs="DIN Next LT"/>
          <w:kern w:val="0"/>
          <w:sz w:val="22"/>
          <w:szCs w:val="22"/>
        </w:rPr>
        <w:t>M</w:t>
      </w:r>
      <w:r w:rsidRPr="00AC0210">
        <w:rPr>
          <w:rFonts w:ascii="DIN Next LT" w:hAnsi="DIN Next LT" w:cs="DIN Next LT"/>
          <w:kern w:val="0"/>
          <w:sz w:val="22"/>
          <w:szCs w:val="22"/>
        </w:rPr>
        <w:t>, up 3</w:t>
      </w:r>
      <w:r w:rsidR="00CF1876" w:rsidRPr="00AC0210">
        <w:rPr>
          <w:rFonts w:ascii="DIN Next LT" w:hAnsi="DIN Next LT" w:cs="DIN Next LT"/>
          <w:kern w:val="0"/>
          <w:sz w:val="22"/>
          <w:szCs w:val="22"/>
        </w:rPr>
        <w:t xml:space="preserve">% </w:t>
      </w:r>
      <w:r w:rsidR="00CF1876">
        <w:rPr>
          <w:rFonts w:ascii="DIN Next LT" w:hAnsi="DIN Next LT" w:cs="DIN Next LT"/>
          <w:kern w:val="0"/>
          <w:sz w:val="22"/>
          <w:szCs w:val="22"/>
        </w:rPr>
        <w:t>and</w:t>
      </w:r>
      <w:r w:rsidR="00B5409F">
        <w:rPr>
          <w:rFonts w:ascii="DIN Next LT" w:hAnsi="DIN Next LT" w:cs="DIN Next LT"/>
          <w:kern w:val="0"/>
          <w:sz w:val="22"/>
          <w:szCs w:val="22"/>
        </w:rPr>
        <w:t xml:space="preserve"> 4% </w:t>
      </w:r>
      <w:r w:rsidRPr="00AC0210">
        <w:rPr>
          <w:rFonts w:ascii="DIN Next LT" w:hAnsi="DIN Next LT" w:cs="DIN Next LT"/>
          <w:kern w:val="0"/>
          <w:sz w:val="22"/>
          <w:szCs w:val="22"/>
        </w:rPr>
        <w:t>year-on-year</w:t>
      </w:r>
      <w:r w:rsidR="00767D0E">
        <w:rPr>
          <w:rFonts w:ascii="DIN Next LT" w:hAnsi="DIN Next LT" w:cs="DIN Next LT"/>
          <w:kern w:val="0"/>
          <w:sz w:val="22"/>
          <w:szCs w:val="22"/>
        </w:rPr>
        <w:t xml:space="preserve"> (YoY)</w:t>
      </w:r>
      <w:r w:rsidR="00B5409F">
        <w:rPr>
          <w:rFonts w:ascii="DIN Next LT" w:hAnsi="DIN Next LT" w:cs="DIN Next LT"/>
          <w:kern w:val="0"/>
          <w:sz w:val="22"/>
          <w:szCs w:val="22"/>
        </w:rPr>
        <w:t xml:space="preserve"> respectively</w:t>
      </w:r>
      <w:r w:rsidRPr="00AC0210">
        <w:rPr>
          <w:rFonts w:ascii="DIN Next LT" w:hAnsi="DIN Next LT" w:cs="DIN Next LT"/>
          <w:kern w:val="0"/>
          <w:sz w:val="22"/>
          <w:szCs w:val="22"/>
        </w:rPr>
        <w:t xml:space="preserve">, </w:t>
      </w:r>
      <w:r w:rsidR="00756933">
        <w:rPr>
          <w:rFonts w:ascii="DIN Next LT" w:hAnsi="DIN Next LT" w:cs="DIN Next LT"/>
          <w:kern w:val="0"/>
          <w:sz w:val="22"/>
          <w:szCs w:val="22"/>
        </w:rPr>
        <w:t>driven</w:t>
      </w:r>
      <w:r w:rsidRPr="00AC0210">
        <w:rPr>
          <w:rFonts w:ascii="DIN Next LT" w:hAnsi="DIN Next LT" w:cs="DIN Next LT"/>
          <w:kern w:val="0"/>
          <w:sz w:val="22"/>
          <w:szCs w:val="22"/>
        </w:rPr>
        <w:t xml:space="preserve"> by </w:t>
      </w:r>
      <w:r w:rsidR="00537550">
        <w:rPr>
          <w:rFonts w:ascii="DIN Next LT" w:hAnsi="DIN Next LT" w:cs="DIN Next LT"/>
          <w:kern w:val="0"/>
          <w:sz w:val="22"/>
          <w:szCs w:val="22"/>
        </w:rPr>
        <w:t>improved</w:t>
      </w:r>
      <w:r w:rsidRPr="00AC0210">
        <w:rPr>
          <w:rFonts w:ascii="DIN Next LT" w:hAnsi="DIN Next LT" w:cs="DIN Next LT"/>
          <w:kern w:val="0"/>
          <w:sz w:val="22"/>
          <w:szCs w:val="22"/>
        </w:rPr>
        <w:t xml:space="preserve"> </w:t>
      </w:r>
      <w:r w:rsidR="007A1AB1">
        <w:rPr>
          <w:rFonts w:ascii="DIN Next LT" w:hAnsi="DIN Next LT" w:cs="DIN Next LT"/>
          <w:kern w:val="0"/>
          <w:sz w:val="22"/>
          <w:szCs w:val="22"/>
        </w:rPr>
        <w:t>market</w:t>
      </w:r>
      <w:r w:rsidR="007A1AB1" w:rsidRPr="00AC0210">
        <w:rPr>
          <w:rFonts w:ascii="DIN Next LT" w:hAnsi="DIN Next LT" w:cs="DIN Next LT"/>
          <w:kern w:val="0"/>
          <w:sz w:val="22"/>
          <w:szCs w:val="22"/>
        </w:rPr>
        <w:t xml:space="preserve"> </w:t>
      </w:r>
      <w:r w:rsidRPr="00AC0210">
        <w:rPr>
          <w:rFonts w:ascii="DIN Next LT" w:hAnsi="DIN Next LT" w:cs="DIN Next LT"/>
          <w:kern w:val="0"/>
          <w:sz w:val="22"/>
          <w:szCs w:val="22"/>
        </w:rPr>
        <w:t>prices</w:t>
      </w:r>
      <w:r w:rsidR="00167953">
        <w:rPr>
          <w:rFonts w:ascii="DIN Next LT" w:hAnsi="DIN Next LT" w:cs="DIN Next LT"/>
          <w:kern w:val="0"/>
          <w:sz w:val="22"/>
          <w:szCs w:val="22"/>
        </w:rPr>
        <w:t>.</w:t>
      </w:r>
      <w:r w:rsidR="00282F11">
        <w:rPr>
          <w:rFonts w:ascii="DIN Next LT" w:hAnsi="DIN Next LT" w:cs="DIN Next LT"/>
          <w:kern w:val="0"/>
          <w:sz w:val="22"/>
          <w:szCs w:val="22"/>
        </w:rPr>
        <w:t xml:space="preserve"> </w:t>
      </w:r>
    </w:p>
    <w:p w14:paraId="203432F8" w14:textId="77777777" w:rsidR="00C60CF8" w:rsidRPr="00AC0210" w:rsidRDefault="00C60CF8" w:rsidP="00E624E1">
      <w:pPr>
        <w:autoSpaceDE w:val="0"/>
        <w:autoSpaceDN w:val="0"/>
        <w:adjustRightInd w:val="0"/>
        <w:spacing w:after="0" w:line="240" w:lineRule="auto"/>
        <w:jc w:val="both"/>
        <w:rPr>
          <w:rFonts w:ascii="DIN Next LT" w:hAnsi="DIN Next LT" w:cs="DIN Next LT"/>
          <w:kern w:val="0"/>
          <w:sz w:val="22"/>
          <w:szCs w:val="22"/>
        </w:rPr>
      </w:pPr>
    </w:p>
    <w:p w14:paraId="5B27DE35" w14:textId="7B940B62" w:rsidR="00172B7C" w:rsidRDefault="0045560D" w:rsidP="00971320">
      <w:pPr>
        <w:autoSpaceDE w:val="0"/>
        <w:autoSpaceDN w:val="0"/>
        <w:adjustRightInd w:val="0"/>
        <w:spacing w:after="0" w:line="240" w:lineRule="auto"/>
        <w:jc w:val="both"/>
        <w:rPr>
          <w:rFonts w:ascii="DIN Next LT" w:hAnsi="DIN Next LT" w:cs="DIN Next LT"/>
          <w:kern w:val="0"/>
          <w:sz w:val="22"/>
          <w:szCs w:val="22"/>
        </w:rPr>
      </w:pPr>
      <w:r w:rsidRPr="0045560D">
        <w:rPr>
          <w:rFonts w:ascii="DIN Next LT" w:hAnsi="DIN Next LT" w:cs="DIN Next LT"/>
          <w:kern w:val="0"/>
          <w:sz w:val="22"/>
          <w:szCs w:val="22"/>
        </w:rPr>
        <w:t xml:space="preserve">Performance for the quarter was </w:t>
      </w:r>
      <w:r w:rsidR="00756933">
        <w:rPr>
          <w:rFonts w:ascii="DIN Next LT" w:hAnsi="DIN Next LT" w:cs="DIN Next LT"/>
          <w:kern w:val="0"/>
          <w:sz w:val="22"/>
          <w:szCs w:val="22"/>
        </w:rPr>
        <w:t>supported</w:t>
      </w:r>
      <w:r w:rsidRPr="0045560D">
        <w:rPr>
          <w:rFonts w:ascii="DIN Next LT" w:hAnsi="DIN Next LT" w:cs="DIN Next LT"/>
          <w:kern w:val="0"/>
          <w:sz w:val="22"/>
          <w:szCs w:val="22"/>
        </w:rPr>
        <w:t xml:space="preserve"> by s</w:t>
      </w:r>
      <w:r w:rsidR="00971320">
        <w:rPr>
          <w:rFonts w:ascii="DIN Next LT" w:hAnsi="DIN Next LT" w:cs="DIN Next LT"/>
          <w:kern w:val="0"/>
          <w:sz w:val="22"/>
          <w:szCs w:val="22"/>
        </w:rPr>
        <w:t>olid</w:t>
      </w:r>
      <w:r w:rsidRPr="0045560D">
        <w:rPr>
          <w:rFonts w:ascii="DIN Next LT" w:hAnsi="DIN Next LT" w:cs="DIN Next LT"/>
          <w:kern w:val="0"/>
          <w:sz w:val="22"/>
          <w:szCs w:val="22"/>
        </w:rPr>
        <w:t xml:space="preserve"> underlying fundamentals across Maaden’s core commodities</w:t>
      </w:r>
      <w:r w:rsidR="004553AF">
        <w:rPr>
          <w:rFonts w:ascii="DIN Next LT" w:hAnsi="DIN Next LT" w:cs="DIN Next LT"/>
          <w:kern w:val="0"/>
          <w:sz w:val="22"/>
          <w:szCs w:val="22"/>
        </w:rPr>
        <w:t xml:space="preserve"> and </w:t>
      </w:r>
      <w:r w:rsidR="00537550">
        <w:rPr>
          <w:rFonts w:ascii="DIN Next LT" w:hAnsi="DIN Next LT" w:cs="DIN Next LT"/>
          <w:kern w:val="0"/>
          <w:sz w:val="22"/>
          <w:szCs w:val="22"/>
        </w:rPr>
        <w:t>resilient pricing</w:t>
      </w:r>
      <w:r w:rsidRPr="0045560D">
        <w:rPr>
          <w:rFonts w:ascii="DIN Next LT" w:hAnsi="DIN Next LT" w:cs="DIN Next LT"/>
          <w:kern w:val="0"/>
          <w:sz w:val="22"/>
          <w:szCs w:val="22"/>
        </w:rPr>
        <w:t xml:space="preserve">. </w:t>
      </w:r>
      <w:r w:rsidR="00537550">
        <w:rPr>
          <w:rFonts w:ascii="DIN Next LT" w:hAnsi="DIN Next LT" w:cs="DIN Next LT"/>
          <w:kern w:val="0"/>
          <w:sz w:val="22"/>
          <w:szCs w:val="22"/>
        </w:rPr>
        <w:t>This strong pricing environment was partially offset by lower s</w:t>
      </w:r>
      <w:r w:rsidR="00E37E74">
        <w:rPr>
          <w:rFonts w:ascii="DIN Next LT" w:hAnsi="DIN Next LT" w:cs="DIN Next LT"/>
          <w:kern w:val="0"/>
          <w:sz w:val="22"/>
          <w:szCs w:val="22"/>
        </w:rPr>
        <w:t>ales volumes within the</w:t>
      </w:r>
      <w:r w:rsidR="00E37E74" w:rsidRPr="00B23B57">
        <w:rPr>
          <w:rFonts w:ascii="DIN Next LT" w:hAnsi="DIN Next LT" w:cs="DIN Next LT"/>
          <w:kern w:val="0"/>
          <w:sz w:val="22"/>
          <w:szCs w:val="22"/>
        </w:rPr>
        <w:t xml:space="preserve"> phosphate business</w:t>
      </w:r>
      <w:r w:rsidR="00537550">
        <w:rPr>
          <w:rFonts w:ascii="DIN Next LT" w:hAnsi="DIN Next LT" w:cs="DIN Next LT"/>
          <w:kern w:val="0"/>
          <w:sz w:val="22"/>
          <w:szCs w:val="22"/>
        </w:rPr>
        <w:t xml:space="preserve"> unit</w:t>
      </w:r>
      <w:r w:rsidR="00E37E74">
        <w:rPr>
          <w:rFonts w:ascii="DIN Next LT" w:hAnsi="DIN Next LT" w:cs="DIN Next LT"/>
          <w:kern w:val="0"/>
          <w:sz w:val="22"/>
          <w:szCs w:val="22"/>
        </w:rPr>
        <w:t xml:space="preserve">. </w:t>
      </w:r>
    </w:p>
    <w:p w14:paraId="2CBF62B3" w14:textId="77777777" w:rsidR="00172B7C" w:rsidRDefault="00172B7C" w:rsidP="00971320">
      <w:pPr>
        <w:autoSpaceDE w:val="0"/>
        <w:autoSpaceDN w:val="0"/>
        <w:adjustRightInd w:val="0"/>
        <w:spacing w:after="0" w:line="240" w:lineRule="auto"/>
        <w:jc w:val="both"/>
        <w:rPr>
          <w:rFonts w:ascii="DIN Next LT" w:hAnsi="DIN Next LT" w:cs="DIN Next LT"/>
          <w:kern w:val="0"/>
          <w:sz w:val="22"/>
          <w:szCs w:val="22"/>
        </w:rPr>
      </w:pPr>
    </w:p>
    <w:p w14:paraId="4B70CAEE" w14:textId="23847D15" w:rsidR="00FD1DD1" w:rsidRDefault="0090792B" w:rsidP="00971320">
      <w:pPr>
        <w:autoSpaceDE w:val="0"/>
        <w:autoSpaceDN w:val="0"/>
        <w:adjustRightInd w:val="0"/>
        <w:spacing w:after="0" w:line="240" w:lineRule="auto"/>
        <w:jc w:val="both"/>
        <w:rPr>
          <w:rFonts w:ascii="DIN Next LT" w:hAnsi="DIN Next LT" w:cs="DIN Next LT"/>
          <w:kern w:val="0"/>
          <w:sz w:val="22"/>
          <w:szCs w:val="22"/>
        </w:rPr>
      </w:pPr>
      <w:r w:rsidRPr="0045560D">
        <w:rPr>
          <w:rFonts w:ascii="DIN Next LT" w:hAnsi="DIN Next LT" w:cs="DIN Next LT"/>
          <w:kern w:val="0"/>
          <w:sz w:val="22"/>
          <w:szCs w:val="22"/>
        </w:rPr>
        <w:t xml:space="preserve">DAP production increased </w:t>
      </w:r>
      <w:r w:rsidR="00E37E74">
        <w:rPr>
          <w:rFonts w:ascii="DIN Next LT" w:hAnsi="DIN Next LT" w:cs="DIN Next LT"/>
          <w:kern w:val="0"/>
          <w:sz w:val="22"/>
          <w:szCs w:val="22"/>
        </w:rPr>
        <w:t xml:space="preserve">for the quarter </w:t>
      </w:r>
      <w:r w:rsidRPr="0045560D">
        <w:rPr>
          <w:rFonts w:ascii="DIN Next LT" w:hAnsi="DIN Next LT" w:cs="DIN Next LT"/>
          <w:kern w:val="0"/>
          <w:sz w:val="22"/>
          <w:szCs w:val="22"/>
        </w:rPr>
        <w:t>by 9% YoY</w:t>
      </w:r>
      <w:r w:rsidR="003F4518">
        <w:rPr>
          <w:rFonts w:ascii="DIN Next LT" w:hAnsi="DIN Next LT" w:cs="DIN Next LT"/>
          <w:kern w:val="0"/>
          <w:sz w:val="22"/>
          <w:szCs w:val="22"/>
        </w:rPr>
        <w:t>,</w:t>
      </w:r>
      <w:r w:rsidRPr="0045560D">
        <w:rPr>
          <w:rFonts w:ascii="DIN Next LT" w:hAnsi="DIN Next LT" w:cs="DIN Next LT"/>
          <w:kern w:val="0"/>
          <w:sz w:val="22"/>
          <w:szCs w:val="22"/>
        </w:rPr>
        <w:t xml:space="preserve"> building on </w:t>
      </w:r>
      <w:r w:rsidR="003F4518">
        <w:rPr>
          <w:rFonts w:ascii="DIN Next LT" w:hAnsi="DIN Next LT" w:cs="DIN Next LT"/>
          <w:kern w:val="0"/>
          <w:sz w:val="22"/>
          <w:szCs w:val="22"/>
        </w:rPr>
        <w:t xml:space="preserve">the </w:t>
      </w:r>
      <w:r w:rsidRPr="0045560D">
        <w:rPr>
          <w:rFonts w:ascii="DIN Next LT" w:hAnsi="DIN Next LT" w:cs="DIN Next LT"/>
          <w:kern w:val="0"/>
          <w:sz w:val="22"/>
          <w:szCs w:val="22"/>
        </w:rPr>
        <w:t>record performance achieved in 2025</w:t>
      </w:r>
      <w:r w:rsidR="00FD1DD1">
        <w:rPr>
          <w:rFonts w:ascii="DIN Next LT" w:hAnsi="DIN Next LT" w:cs="DIN Next LT"/>
          <w:kern w:val="0"/>
          <w:sz w:val="22"/>
          <w:szCs w:val="22"/>
        </w:rPr>
        <w:t xml:space="preserve">, however, approximately one quarter of </w:t>
      </w:r>
      <w:r w:rsidR="003A427A">
        <w:rPr>
          <w:rFonts w:ascii="DIN Next LT" w:hAnsi="DIN Next LT" w:cs="DIN Next LT"/>
          <w:kern w:val="0"/>
          <w:sz w:val="22"/>
          <w:szCs w:val="22"/>
        </w:rPr>
        <w:t xml:space="preserve">DAP </w:t>
      </w:r>
      <w:r w:rsidR="00FD1DD1">
        <w:rPr>
          <w:rFonts w:ascii="DIN Next LT" w:hAnsi="DIN Next LT" w:cs="DIN Next LT"/>
          <w:kern w:val="0"/>
          <w:sz w:val="22"/>
          <w:szCs w:val="22"/>
        </w:rPr>
        <w:t>production in Q1 was not sold</w:t>
      </w:r>
      <w:r w:rsidR="003156DB">
        <w:rPr>
          <w:rFonts w:ascii="DIN Next LT" w:hAnsi="DIN Next LT" w:cs="DIN Next LT"/>
          <w:kern w:val="0"/>
          <w:sz w:val="22"/>
          <w:szCs w:val="22"/>
        </w:rPr>
        <w:t>.</w:t>
      </w:r>
    </w:p>
    <w:p w14:paraId="697EB8B1" w14:textId="77777777" w:rsidR="00FD1DD1" w:rsidRDefault="00FD1DD1" w:rsidP="00E37E74">
      <w:pPr>
        <w:autoSpaceDE w:val="0"/>
        <w:autoSpaceDN w:val="0"/>
        <w:adjustRightInd w:val="0"/>
        <w:spacing w:after="0" w:line="240" w:lineRule="auto"/>
        <w:jc w:val="both"/>
        <w:rPr>
          <w:rFonts w:ascii="DIN Next LT" w:hAnsi="DIN Next LT" w:cs="DIN Next LT"/>
          <w:kern w:val="0"/>
          <w:sz w:val="22"/>
          <w:szCs w:val="22"/>
        </w:rPr>
      </w:pPr>
    </w:p>
    <w:p w14:paraId="4B9D8E5E" w14:textId="34B15F5C" w:rsidR="00E37E74" w:rsidRDefault="005E4BE4" w:rsidP="00E37E74">
      <w:pPr>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kern w:val="0"/>
          <w:sz w:val="22"/>
          <w:szCs w:val="22"/>
        </w:rPr>
        <w:t>Aluminum</w:t>
      </w:r>
      <w:r w:rsidR="00FD1DD1">
        <w:rPr>
          <w:rFonts w:ascii="DIN Next LT" w:hAnsi="DIN Next LT" w:cs="DIN Next LT"/>
          <w:kern w:val="0"/>
          <w:sz w:val="22"/>
          <w:szCs w:val="22"/>
        </w:rPr>
        <w:t xml:space="preserve"> and alumina production </w:t>
      </w:r>
      <w:r w:rsidR="00A82E44">
        <w:rPr>
          <w:rFonts w:ascii="DIN Next LT" w:hAnsi="DIN Next LT" w:cs="DIN Next LT"/>
          <w:kern w:val="0"/>
          <w:sz w:val="22"/>
          <w:szCs w:val="22"/>
        </w:rPr>
        <w:t xml:space="preserve">remained stable </w:t>
      </w:r>
      <w:r w:rsidR="00FD1DD1">
        <w:rPr>
          <w:rFonts w:ascii="DIN Next LT" w:hAnsi="DIN Next LT" w:cs="DIN Next LT"/>
          <w:kern w:val="0"/>
          <w:sz w:val="22"/>
          <w:szCs w:val="22"/>
        </w:rPr>
        <w:t xml:space="preserve">on the yearly and quarterly comparison </w:t>
      </w:r>
      <w:r w:rsidR="00BF0F28">
        <w:rPr>
          <w:rFonts w:ascii="DIN Next LT" w:hAnsi="DIN Next LT" w:cs="DIN Next LT"/>
          <w:kern w:val="0"/>
          <w:sz w:val="22"/>
          <w:szCs w:val="22"/>
        </w:rPr>
        <w:t xml:space="preserve">- </w:t>
      </w:r>
      <w:r w:rsidR="00FD1DD1">
        <w:rPr>
          <w:rFonts w:ascii="DIN Next LT" w:hAnsi="DIN Next LT" w:cs="DIN Next LT"/>
          <w:kern w:val="0"/>
          <w:sz w:val="22"/>
          <w:szCs w:val="22"/>
        </w:rPr>
        <w:t>considering the shorter</w:t>
      </w:r>
      <w:r w:rsidR="00BF0F28">
        <w:rPr>
          <w:rFonts w:ascii="DIN Next LT" w:hAnsi="DIN Next LT" w:cs="DIN Next LT"/>
          <w:kern w:val="0"/>
          <w:sz w:val="22"/>
          <w:szCs w:val="22"/>
        </w:rPr>
        <w:t xml:space="preserve"> quarter</w:t>
      </w:r>
      <w:r w:rsidR="0090792B" w:rsidRPr="0045560D">
        <w:rPr>
          <w:rFonts w:ascii="DIN Next LT" w:hAnsi="DIN Next LT" w:cs="DIN Next LT"/>
          <w:kern w:val="0"/>
          <w:sz w:val="22"/>
          <w:szCs w:val="22"/>
        </w:rPr>
        <w:t>.</w:t>
      </w:r>
      <w:r w:rsidR="00B23B57">
        <w:rPr>
          <w:rFonts w:ascii="DIN Next LT" w:hAnsi="DIN Next LT" w:cs="DIN Next LT"/>
          <w:kern w:val="0"/>
          <w:sz w:val="22"/>
          <w:szCs w:val="22"/>
        </w:rPr>
        <w:t xml:space="preserve"> </w:t>
      </w:r>
      <w:r w:rsidR="00FD1DD1">
        <w:rPr>
          <w:rFonts w:ascii="DIN Next LT" w:hAnsi="DIN Next LT" w:cs="DIN Next LT"/>
          <w:kern w:val="0"/>
          <w:sz w:val="22"/>
          <w:szCs w:val="22"/>
        </w:rPr>
        <w:t>Reali</w:t>
      </w:r>
      <w:r w:rsidR="00BF0F28">
        <w:rPr>
          <w:rFonts w:ascii="DIN Next LT" w:hAnsi="DIN Next LT" w:cs="DIN Next LT"/>
          <w:kern w:val="0"/>
          <w:sz w:val="22"/>
          <w:szCs w:val="22"/>
        </w:rPr>
        <w:t>z</w:t>
      </w:r>
      <w:r w:rsidR="00FD1DD1">
        <w:rPr>
          <w:rFonts w:ascii="DIN Next LT" w:hAnsi="DIN Next LT" w:cs="DIN Next LT"/>
          <w:kern w:val="0"/>
          <w:sz w:val="22"/>
          <w:szCs w:val="22"/>
        </w:rPr>
        <w:t>ed aluminum prices increased 21% YoY and 17% QoQ.</w:t>
      </w:r>
    </w:p>
    <w:p w14:paraId="7B6BDBB7" w14:textId="77777777" w:rsidR="00FD1DD1" w:rsidRDefault="00FD1DD1" w:rsidP="00E37E74">
      <w:pPr>
        <w:autoSpaceDE w:val="0"/>
        <w:autoSpaceDN w:val="0"/>
        <w:adjustRightInd w:val="0"/>
        <w:spacing w:after="0" w:line="240" w:lineRule="auto"/>
        <w:jc w:val="both"/>
        <w:rPr>
          <w:rFonts w:ascii="DIN Next LT" w:hAnsi="DIN Next LT" w:cs="DIN Next LT"/>
          <w:kern w:val="0"/>
          <w:sz w:val="22"/>
          <w:szCs w:val="22"/>
        </w:rPr>
      </w:pPr>
    </w:p>
    <w:p w14:paraId="76145BE3" w14:textId="604BE5B5" w:rsidR="00FD1DD1" w:rsidRDefault="003A427A" w:rsidP="00E37E74">
      <w:pPr>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kern w:val="0"/>
          <w:sz w:val="22"/>
          <w:szCs w:val="22"/>
        </w:rPr>
        <w:t xml:space="preserve">Gold production of 105koz reflects a reduction of 15% YoY and was affected </w:t>
      </w:r>
      <w:r w:rsidR="00106F79">
        <w:rPr>
          <w:rFonts w:ascii="DIN Next LT" w:hAnsi="DIN Next LT" w:cs="DIN Next LT"/>
          <w:kern w:val="0"/>
          <w:sz w:val="22"/>
          <w:szCs w:val="22"/>
        </w:rPr>
        <w:t xml:space="preserve">by </w:t>
      </w:r>
      <w:r w:rsidR="00A250EE">
        <w:rPr>
          <w:rFonts w:ascii="DIN Next LT" w:hAnsi="DIN Next LT" w:cs="DIN Next LT"/>
          <w:kern w:val="0"/>
          <w:sz w:val="22"/>
          <w:szCs w:val="22"/>
        </w:rPr>
        <w:t xml:space="preserve">the </w:t>
      </w:r>
      <w:r w:rsidR="00106F79">
        <w:rPr>
          <w:rFonts w:ascii="DIN Next LT Arabic" w:hAnsi="DIN Next LT Arabic" w:cs="DIN Next LT Arabic"/>
        </w:rPr>
        <w:t>temporar</w:t>
      </w:r>
      <w:r w:rsidR="00A250EE">
        <w:rPr>
          <w:rFonts w:ascii="DIN Next LT Arabic" w:hAnsi="DIN Next LT Arabic" w:cs="DIN Next LT Arabic"/>
        </w:rPr>
        <w:t xml:space="preserve">y </w:t>
      </w:r>
      <w:r w:rsidR="00106F79">
        <w:rPr>
          <w:rFonts w:ascii="DIN Next LT Arabic" w:hAnsi="DIN Next LT Arabic" w:cs="DIN Next LT Arabic"/>
        </w:rPr>
        <w:t>suspen</w:t>
      </w:r>
      <w:r w:rsidR="00A250EE">
        <w:rPr>
          <w:rFonts w:ascii="DIN Next LT Arabic" w:hAnsi="DIN Next LT Arabic" w:cs="DIN Next LT Arabic"/>
        </w:rPr>
        <w:t>sion of</w:t>
      </w:r>
      <w:r w:rsidR="00106F79" w:rsidRPr="00133F79">
        <w:rPr>
          <w:rFonts w:ascii="DIN Next LT Arabic" w:hAnsi="DIN Next LT Arabic" w:cs="DIN Next LT Arabic"/>
        </w:rPr>
        <w:t xml:space="preserve"> production </w:t>
      </w:r>
      <w:r>
        <w:rPr>
          <w:rFonts w:ascii="DIN Next LT" w:hAnsi="DIN Next LT" w:cs="DIN Next LT"/>
          <w:kern w:val="0"/>
          <w:sz w:val="22"/>
          <w:szCs w:val="22"/>
        </w:rPr>
        <w:t xml:space="preserve">at two of our smaller mines, we expect these to resume production in Q2. All-in-sustaining-cost at $1,052/oz, a decrease of 15% YoY, reflects lower production at some of our higher cost operations and sequencing at </w:t>
      </w:r>
      <w:proofErr w:type="spellStart"/>
      <w:r>
        <w:rPr>
          <w:rFonts w:ascii="DIN Next LT" w:hAnsi="DIN Next LT" w:cs="DIN Next LT"/>
          <w:kern w:val="0"/>
          <w:sz w:val="22"/>
          <w:szCs w:val="22"/>
        </w:rPr>
        <w:t>Mansourah</w:t>
      </w:r>
      <w:r w:rsidR="00BF0F28">
        <w:rPr>
          <w:rFonts w:ascii="DIN Next LT" w:hAnsi="DIN Next LT" w:cs="DIN Next LT"/>
          <w:kern w:val="0"/>
          <w:sz w:val="22"/>
          <w:szCs w:val="22"/>
        </w:rPr>
        <w:t>-</w:t>
      </w:r>
      <w:r>
        <w:rPr>
          <w:rFonts w:ascii="DIN Next LT" w:hAnsi="DIN Next LT" w:cs="DIN Next LT"/>
          <w:kern w:val="0"/>
          <w:sz w:val="22"/>
          <w:szCs w:val="22"/>
        </w:rPr>
        <w:t>Massarah</w:t>
      </w:r>
      <w:proofErr w:type="spellEnd"/>
      <w:r>
        <w:rPr>
          <w:rFonts w:ascii="DIN Next LT" w:hAnsi="DIN Next LT" w:cs="DIN Next LT"/>
          <w:kern w:val="0"/>
          <w:sz w:val="22"/>
          <w:szCs w:val="22"/>
        </w:rPr>
        <w:t xml:space="preserve">. </w:t>
      </w:r>
    </w:p>
    <w:p w14:paraId="1D6CC444" w14:textId="77777777" w:rsidR="00E37E74" w:rsidRDefault="00E37E74" w:rsidP="00E37E74">
      <w:pPr>
        <w:autoSpaceDE w:val="0"/>
        <w:autoSpaceDN w:val="0"/>
        <w:adjustRightInd w:val="0"/>
        <w:spacing w:after="0" w:line="240" w:lineRule="auto"/>
        <w:jc w:val="both"/>
        <w:rPr>
          <w:rFonts w:ascii="DIN Next LT" w:hAnsi="DIN Next LT" w:cs="DIN Next LT"/>
          <w:kern w:val="0"/>
          <w:sz w:val="22"/>
          <w:szCs w:val="22"/>
        </w:rPr>
      </w:pPr>
    </w:p>
    <w:p w14:paraId="210C9963" w14:textId="596506CB" w:rsidR="00E37E74" w:rsidRPr="0045560D" w:rsidRDefault="00E37E74" w:rsidP="00E37E74">
      <w:pPr>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kern w:val="0"/>
          <w:sz w:val="22"/>
          <w:szCs w:val="22"/>
        </w:rPr>
        <w:t>Maaden’s</w:t>
      </w:r>
      <w:r w:rsidRPr="00AC0210">
        <w:rPr>
          <w:rFonts w:ascii="DIN Next LT" w:hAnsi="DIN Next LT" w:cs="DIN Next LT"/>
          <w:kern w:val="0"/>
          <w:sz w:val="22"/>
          <w:szCs w:val="22"/>
        </w:rPr>
        <w:t xml:space="preserve"> balance sheet remains robust, with net debt </w:t>
      </w:r>
      <w:r>
        <w:rPr>
          <w:rFonts w:ascii="DIN Next LT" w:hAnsi="DIN Next LT" w:cs="DIN Next LT"/>
          <w:kern w:val="0"/>
          <w:sz w:val="22"/>
          <w:szCs w:val="22"/>
        </w:rPr>
        <w:t xml:space="preserve">/ </w:t>
      </w:r>
      <w:r w:rsidRPr="00AC0210">
        <w:rPr>
          <w:rFonts w:ascii="DIN Next LT" w:hAnsi="DIN Next LT" w:cs="DIN Next LT"/>
          <w:kern w:val="0"/>
          <w:sz w:val="22"/>
          <w:szCs w:val="22"/>
        </w:rPr>
        <w:t xml:space="preserve">EBITDA at </w:t>
      </w:r>
      <w:r w:rsidR="00FD1DD1" w:rsidRPr="009D7333">
        <w:rPr>
          <w:rFonts w:ascii="DIN Next LT" w:hAnsi="DIN Next LT" w:cs="DIN Next LT"/>
          <w:kern w:val="0"/>
          <w:sz w:val="22"/>
          <w:szCs w:val="22"/>
        </w:rPr>
        <w:t>1.2</w:t>
      </w:r>
      <w:r w:rsidRPr="009D7333">
        <w:rPr>
          <w:rFonts w:ascii="DIN Next LT" w:hAnsi="DIN Next LT" w:cs="DIN Next LT"/>
          <w:kern w:val="0"/>
          <w:sz w:val="22"/>
          <w:szCs w:val="22"/>
        </w:rPr>
        <w:t xml:space="preserve">x, </w:t>
      </w:r>
      <w:r w:rsidR="00FD1DD1" w:rsidRPr="009D7333">
        <w:rPr>
          <w:rFonts w:ascii="DIN Next LT" w:hAnsi="DIN Next LT" w:cs="DIN Next LT"/>
          <w:kern w:val="0"/>
          <w:sz w:val="22"/>
          <w:szCs w:val="22"/>
        </w:rPr>
        <w:t xml:space="preserve">below the </w:t>
      </w:r>
      <w:r w:rsidRPr="009D7333">
        <w:rPr>
          <w:rFonts w:ascii="DIN Next LT" w:hAnsi="DIN Next LT" w:cs="DIN Next LT"/>
          <w:kern w:val="0"/>
          <w:sz w:val="22"/>
          <w:szCs w:val="22"/>
        </w:rPr>
        <w:t>target range</w:t>
      </w:r>
      <w:r w:rsidR="00FD1DD1" w:rsidRPr="009D7333">
        <w:rPr>
          <w:rFonts w:ascii="DIN Next LT" w:hAnsi="DIN Next LT" w:cs="DIN Next LT"/>
          <w:kern w:val="0"/>
          <w:sz w:val="22"/>
          <w:szCs w:val="22"/>
        </w:rPr>
        <w:t xml:space="preserve"> of 2-3x</w:t>
      </w:r>
      <w:r w:rsidRPr="009D7333">
        <w:rPr>
          <w:rFonts w:ascii="DIN Next LT" w:hAnsi="DIN Next LT" w:cs="DIN Next LT"/>
          <w:kern w:val="0"/>
          <w:sz w:val="22"/>
          <w:szCs w:val="22"/>
        </w:rPr>
        <w:t>.</w:t>
      </w:r>
      <w:r w:rsidRPr="002C0D5D">
        <w:rPr>
          <w:rFonts w:ascii="DIN Next LT" w:hAnsi="DIN Next LT" w:cs="DIN Next LT"/>
          <w:color w:val="EE0000"/>
          <w:kern w:val="0"/>
          <w:sz w:val="22"/>
          <w:szCs w:val="22"/>
        </w:rPr>
        <w:t xml:space="preserve"> </w:t>
      </w:r>
      <w:r w:rsidRPr="00AC0210">
        <w:rPr>
          <w:rFonts w:ascii="DIN Next LT" w:hAnsi="DIN Next LT" w:cs="DIN Next LT"/>
          <w:kern w:val="0"/>
          <w:sz w:val="22"/>
          <w:szCs w:val="22"/>
        </w:rPr>
        <w:t xml:space="preserve">Sustaining </w:t>
      </w:r>
      <w:r>
        <w:rPr>
          <w:rFonts w:ascii="DIN Next LT" w:hAnsi="DIN Next LT" w:cs="DIN Next LT"/>
          <w:kern w:val="0"/>
          <w:sz w:val="22"/>
          <w:szCs w:val="22"/>
        </w:rPr>
        <w:t>run-rate</w:t>
      </w:r>
      <w:r w:rsidRPr="00AC0210">
        <w:rPr>
          <w:rFonts w:ascii="DIN Next LT" w:hAnsi="DIN Next LT" w:cs="DIN Next LT"/>
          <w:kern w:val="0"/>
          <w:sz w:val="22"/>
          <w:szCs w:val="22"/>
        </w:rPr>
        <w:t xml:space="preserve"> free cash flow, excluding working capital</w:t>
      </w:r>
      <w:r w:rsidR="00CF1876">
        <w:rPr>
          <w:rFonts w:ascii="DIN Next LT" w:hAnsi="DIN Next LT" w:cs="DIN Next LT"/>
          <w:kern w:val="0"/>
          <w:sz w:val="22"/>
          <w:szCs w:val="22"/>
        </w:rPr>
        <w:t xml:space="preserve"> </w:t>
      </w:r>
      <w:r w:rsidR="00FD1DD1">
        <w:rPr>
          <w:rFonts w:ascii="DIN Next LT" w:hAnsi="DIN Next LT" w:cs="DIN Next LT"/>
          <w:kern w:val="0"/>
          <w:sz w:val="22"/>
          <w:szCs w:val="22"/>
        </w:rPr>
        <w:t>of $</w:t>
      </w:r>
      <w:r w:rsidR="00B5409F">
        <w:rPr>
          <w:rFonts w:ascii="DIN Next LT" w:hAnsi="DIN Next LT" w:cs="DIN Next LT"/>
          <w:kern w:val="0"/>
          <w:sz w:val="22"/>
          <w:szCs w:val="22"/>
        </w:rPr>
        <w:t>827</w:t>
      </w:r>
      <w:r w:rsidR="00CF1876">
        <w:rPr>
          <w:rFonts w:ascii="DIN Next LT" w:hAnsi="DIN Next LT" w:cs="DIN Next LT"/>
          <w:kern w:val="0"/>
          <w:sz w:val="22"/>
          <w:szCs w:val="22"/>
        </w:rPr>
        <w:t>M, reflects</w:t>
      </w:r>
      <w:r w:rsidR="00FD1DD1" w:rsidRPr="00AC0210">
        <w:rPr>
          <w:rFonts w:ascii="DIN Next LT" w:hAnsi="DIN Next LT" w:cs="DIN Next LT"/>
          <w:kern w:val="0"/>
          <w:sz w:val="22"/>
          <w:szCs w:val="22"/>
        </w:rPr>
        <w:t xml:space="preserve"> </w:t>
      </w:r>
      <w:r w:rsidRPr="00AC0210">
        <w:rPr>
          <w:rFonts w:ascii="DIN Next LT" w:hAnsi="DIN Next LT" w:cs="DIN Next LT"/>
          <w:kern w:val="0"/>
          <w:sz w:val="22"/>
          <w:szCs w:val="22"/>
        </w:rPr>
        <w:t xml:space="preserve">the </w:t>
      </w:r>
      <w:r w:rsidR="00FD1DD1">
        <w:rPr>
          <w:rFonts w:ascii="DIN Next LT" w:hAnsi="DIN Next LT" w:cs="DIN Next LT"/>
          <w:kern w:val="0"/>
          <w:sz w:val="22"/>
          <w:szCs w:val="22"/>
        </w:rPr>
        <w:t>strong cash generation in the underlying businesses</w:t>
      </w:r>
      <w:r w:rsidRPr="00AC0210">
        <w:rPr>
          <w:rFonts w:ascii="DIN Next LT" w:hAnsi="DIN Next LT" w:cs="DIN Next LT"/>
          <w:kern w:val="0"/>
          <w:sz w:val="22"/>
          <w:szCs w:val="22"/>
        </w:rPr>
        <w:t>.</w:t>
      </w:r>
    </w:p>
    <w:p w14:paraId="6BC38F8E" w14:textId="77777777" w:rsidR="00E624E1" w:rsidRPr="0045560D" w:rsidRDefault="00E624E1" w:rsidP="00E624E1">
      <w:pPr>
        <w:autoSpaceDE w:val="0"/>
        <w:autoSpaceDN w:val="0"/>
        <w:adjustRightInd w:val="0"/>
        <w:spacing w:after="0" w:line="240" w:lineRule="auto"/>
        <w:jc w:val="both"/>
        <w:rPr>
          <w:rFonts w:ascii="DIN Next LT" w:hAnsi="DIN Next LT" w:cs="DIN Next LT"/>
          <w:kern w:val="0"/>
          <w:sz w:val="22"/>
          <w:szCs w:val="22"/>
        </w:rPr>
      </w:pPr>
    </w:p>
    <w:p w14:paraId="374C8F6F" w14:textId="12B8DCB3" w:rsidR="00D84943" w:rsidRDefault="0078693D" w:rsidP="00437C19">
      <w:pPr>
        <w:autoSpaceDE w:val="0"/>
        <w:autoSpaceDN w:val="0"/>
        <w:adjustRightInd w:val="0"/>
        <w:spacing w:after="0" w:line="240" w:lineRule="auto"/>
        <w:jc w:val="both"/>
        <w:rPr>
          <w:rFonts w:ascii="DIN Next LT" w:hAnsi="DIN Next LT" w:cs="DIN Next LT"/>
          <w:kern w:val="0"/>
          <w:sz w:val="22"/>
          <w:szCs w:val="22"/>
        </w:rPr>
      </w:pPr>
      <w:r w:rsidRPr="004C2BDA">
        <w:rPr>
          <w:rFonts w:ascii="DIN Next LT" w:hAnsi="DIN Next LT" w:cs="DIN Next LT"/>
          <w:b/>
          <w:bCs/>
          <w:kern w:val="0"/>
          <w:sz w:val="22"/>
          <w:szCs w:val="22"/>
        </w:rPr>
        <w:lastRenderedPageBreak/>
        <w:t>Bob Wilt, CEO, Maaden, said</w:t>
      </w:r>
      <w:r>
        <w:rPr>
          <w:rFonts w:ascii="DIN Next LT" w:hAnsi="DIN Next LT" w:cs="DIN Next LT"/>
          <w:b/>
          <w:bCs/>
          <w:kern w:val="0"/>
          <w:sz w:val="22"/>
          <w:szCs w:val="22"/>
        </w:rPr>
        <w:t xml:space="preserve">: </w:t>
      </w:r>
      <w:r w:rsidR="008C6764" w:rsidRPr="008C6764">
        <w:rPr>
          <w:rFonts w:ascii="DIN Next LT" w:hAnsi="DIN Next LT" w:cs="DIN Next LT"/>
          <w:kern w:val="0"/>
          <w:sz w:val="22"/>
          <w:szCs w:val="22"/>
        </w:rPr>
        <w:t>“</w:t>
      </w:r>
      <w:r w:rsidR="00FD1DD1">
        <w:rPr>
          <w:rFonts w:ascii="DIN Next LT" w:hAnsi="DIN Next LT" w:cs="DIN Next LT"/>
          <w:kern w:val="0"/>
          <w:sz w:val="22"/>
          <w:szCs w:val="22"/>
        </w:rPr>
        <w:t xml:space="preserve">Maaden </w:t>
      </w:r>
      <w:r w:rsidR="00BF0F28">
        <w:rPr>
          <w:rFonts w:ascii="DIN Next LT" w:hAnsi="DIN Next LT" w:cs="DIN Next LT"/>
          <w:kern w:val="0"/>
          <w:sz w:val="22"/>
          <w:szCs w:val="22"/>
        </w:rPr>
        <w:t>has started the year with solid, stable performance</w:t>
      </w:r>
      <w:r w:rsidR="008B7993">
        <w:rPr>
          <w:rFonts w:ascii="DIN Next LT" w:hAnsi="DIN Next LT" w:cs="DIN Next LT"/>
          <w:kern w:val="0"/>
          <w:sz w:val="22"/>
          <w:szCs w:val="22"/>
        </w:rPr>
        <w:t>.</w:t>
      </w:r>
      <w:r w:rsidR="0012295D">
        <w:rPr>
          <w:rFonts w:ascii="DIN Next LT" w:hAnsi="DIN Next LT" w:cs="DIN Next LT"/>
          <w:kern w:val="0"/>
          <w:sz w:val="22"/>
          <w:szCs w:val="22"/>
        </w:rPr>
        <w:t xml:space="preserve"> </w:t>
      </w:r>
      <w:r w:rsidR="00BF0F28">
        <w:rPr>
          <w:rFonts w:ascii="DIN Next LT" w:hAnsi="DIN Next LT" w:cs="DIN Next LT"/>
          <w:kern w:val="0"/>
          <w:sz w:val="22"/>
          <w:szCs w:val="22"/>
        </w:rPr>
        <w:t>We are</w:t>
      </w:r>
      <w:r w:rsidR="008B7993">
        <w:rPr>
          <w:rFonts w:ascii="DIN Next LT" w:hAnsi="DIN Next LT" w:cs="DIN Next LT"/>
          <w:kern w:val="0"/>
          <w:sz w:val="22"/>
          <w:szCs w:val="22"/>
        </w:rPr>
        <w:t xml:space="preserve"> clearly</w:t>
      </w:r>
      <w:r w:rsidR="007448E1">
        <w:rPr>
          <w:rFonts w:ascii="DIN Next LT" w:hAnsi="DIN Next LT" w:cs="DIN Next LT"/>
          <w:kern w:val="0"/>
          <w:sz w:val="22"/>
          <w:szCs w:val="22"/>
        </w:rPr>
        <w:t xml:space="preserve"> </w:t>
      </w:r>
      <w:r w:rsidR="008C6764" w:rsidRPr="008C6764">
        <w:rPr>
          <w:rFonts w:ascii="DIN Next LT" w:hAnsi="DIN Next LT" w:cs="DIN Next LT"/>
          <w:kern w:val="0"/>
          <w:sz w:val="22"/>
          <w:szCs w:val="22"/>
        </w:rPr>
        <w:t>demonstrat</w:t>
      </w:r>
      <w:r w:rsidR="00C6144F">
        <w:rPr>
          <w:rFonts w:ascii="DIN Next LT" w:hAnsi="DIN Next LT" w:cs="DIN Next LT"/>
          <w:kern w:val="0"/>
          <w:sz w:val="22"/>
          <w:szCs w:val="22"/>
        </w:rPr>
        <w:t>ing</w:t>
      </w:r>
      <w:r w:rsidR="008C6764" w:rsidRPr="008C6764">
        <w:rPr>
          <w:rFonts w:ascii="DIN Next LT" w:hAnsi="DIN Next LT" w:cs="DIN Next LT"/>
          <w:kern w:val="0"/>
          <w:sz w:val="22"/>
          <w:szCs w:val="22"/>
        </w:rPr>
        <w:t xml:space="preserve"> the </w:t>
      </w:r>
      <w:r w:rsidR="004911BB">
        <w:rPr>
          <w:rFonts w:ascii="DIN Next LT" w:hAnsi="DIN Next LT" w:cs="DIN Next LT"/>
          <w:kern w:val="0"/>
          <w:sz w:val="22"/>
          <w:szCs w:val="22"/>
        </w:rPr>
        <w:t>strength</w:t>
      </w:r>
      <w:r w:rsidR="00C72F67">
        <w:rPr>
          <w:rFonts w:ascii="DIN Next LT" w:hAnsi="DIN Next LT" w:cs="DIN Next LT"/>
          <w:kern w:val="0"/>
          <w:sz w:val="22"/>
          <w:szCs w:val="22"/>
        </w:rPr>
        <w:t xml:space="preserve"> </w:t>
      </w:r>
      <w:r w:rsidR="008C6764" w:rsidRPr="008C6764">
        <w:rPr>
          <w:rFonts w:ascii="DIN Next LT" w:hAnsi="DIN Next LT" w:cs="DIN Next LT"/>
          <w:kern w:val="0"/>
          <w:sz w:val="22"/>
          <w:szCs w:val="22"/>
        </w:rPr>
        <w:t xml:space="preserve">of </w:t>
      </w:r>
      <w:r w:rsidR="00BF0F28">
        <w:rPr>
          <w:rFonts w:ascii="DIN Next LT" w:hAnsi="DIN Next LT" w:cs="DIN Next LT"/>
          <w:kern w:val="0"/>
          <w:sz w:val="22"/>
          <w:szCs w:val="22"/>
        </w:rPr>
        <w:t xml:space="preserve">our </w:t>
      </w:r>
      <w:r w:rsidR="008B7993">
        <w:rPr>
          <w:rFonts w:ascii="DIN Next LT" w:hAnsi="DIN Next LT" w:cs="DIN Next LT"/>
          <w:kern w:val="0"/>
          <w:sz w:val="22"/>
          <w:szCs w:val="22"/>
        </w:rPr>
        <w:t>people and business.</w:t>
      </w:r>
      <w:r w:rsidR="00C6144F">
        <w:rPr>
          <w:rFonts w:ascii="DIN Next LT" w:hAnsi="DIN Next LT" w:cs="DIN Next LT"/>
          <w:kern w:val="0"/>
          <w:sz w:val="22"/>
          <w:szCs w:val="22"/>
        </w:rPr>
        <w:t xml:space="preserve"> </w:t>
      </w:r>
      <w:r w:rsidR="00BE7A3D">
        <w:rPr>
          <w:rFonts w:ascii="DIN Next LT" w:hAnsi="DIN Next LT" w:cs="DIN Next LT"/>
          <w:kern w:val="0"/>
          <w:sz w:val="22"/>
          <w:szCs w:val="22"/>
        </w:rPr>
        <w:t xml:space="preserve">Our </w:t>
      </w:r>
      <w:r w:rsidR="007448E1">
        <w:rPr>
          <w:rFonts w:ascii="DIN Next LT" w:hAnsi="DIN Next LT" w:cs="DIN Next LT"/>
          <w:kern w:val="0"/>
          <w:sz w:val="22"/>
          <w:szCs w:val="22"/>
        </w:rPr>
        <w:t>financial results</w:t>
      </w:r>
      <w:r w:rsidR="00BE7A3D">
        <w:rPr>
          <w:rFonts w:ascii="DIN Next LT" w:hAnsi="DIN Next LT" w:cs="DIN Next LT"/>
          <w:kern w:val="0"/>
          <w:sz w:val="22"/>
          <w:szCs w:val="22"/>
        </w:rPr>
        <w:t>, with $2.3B revenue and $</w:t>
      </w:r>
      <w:r w:rsidR="00B5409F">
        <w:rPr>
          <w:rFonts w:ascii="DIN Next LT" w:hAnsi="DIN Next LT" w:cs="DIN Next LT"/>
          <w:kern w:val="0"/>
          <w:sz w:val="22"/>
          <w:szCs w:val="22"/>
        </w:rPr>
        <w:t xml:space="preserve">964 </w:t>
      </w:r>
      <w:r w:rsidR="00BE7A3D">
        <w:rPr>
          <w:rFonts w:ascii="DIN Next LT" w:hAnsi="DIN Next LT" w:cs="DIN Next LT"/>
          <w:kern w:val="0"/>
          <w:sz w:val="22"/>
          <w:szCs w:val="22"/>
        </w:rPr>
        <w:t>million EBITDA,</w:t>
      </w:r>
      <w:r w:rsidR="007448E1">
        <w:rPr>
          <w:rFonts w:ascii="DIN Next LT" w:hAnsi="DIN Next LT" w:cs="DIN Next LT"/>
          <w:kern w:val="0"/>
          <w:sz w:val="22"/>
          <w:szCs w:val="22"/>
        </w:rPr>
        <w:t xml:space="preserve"> were</w:t>
      </w:r>
      <w:r w:rsidR="00C6144F" w:rsidRPr="00C6144F">
        <w:rPr>
          <w:rFonts w:ascii="DIN Next LT" w:hAnsi="DIN Next LT" w:cs="DIN Next LT"/>
          <w:kern w:val="0"/>
          <w:sz w:val="22"/>
          <w:szCs w:val="22"/>
        </w:rPr>
        <w:t xml:space="preserve"> </w:t>
      </w:r>
      <w:r w:rsidR="00BE7A3D">
        <w:rPr>
          <w:rFonts w:ascii="DIN Next LT" w:hAnsi="DIN Next LT" w:cs="DIN Next LT"/>
          <w:kern w:val="0"/>
          <w:sz w:val="22"/>
          <w:szCs w:val="22"/>
        </w:rPr>
        <w:t>driven by a</w:t>
      </w:r>
      <w:r w:rsidR="00F965DE">
        <w:rPr>
          <w:rFonts w:ascii="DIN Next LT" w:hAnsi="DIN Next LT" w:cs="DIN Next LT"/>
          <w:kern w:val="0"/>
          <w:sz w:val="22"/>
          <w:szCs w:val="22"/>
        </w:rPr>
        <w:t xml:space="preserve"> </w:t>
      </w:r>
      <w:r w:rsidR="00437C19">
        <w:rPr>
          <w:rFonts w:ascii="DIN Next LT" w:hAnsi="DIN Next LT" w:cs="DIN Next LT"/>
          <w:kern w:val="0"/>
          <w:sz w:val="22"/>
          <w:szCs w:val="22"/>
        </w:rPr>
        <w:t xml:space="preserve">resilient portfolio, </w:t>
      </w:r>
      <w:r w:rsidR="00F965DE">
        <w:rPr>
          <w:rFonts w:ascii="DIN Next LT" w:hAnsi="DIN Next LT" w:cs="DIN Next LT"/>
          <w:kern w:val="0"/>
          <w:sz w:val="22"/>
          <w:szCs w:val="22"/>
        </w:rPr>
        <w:t>combined with the</w:t>
      </w:r>
      <w:r w:rsidR="00437C19">
        <w:rPr>
          <w:rFonts w:ascii="DIN Next LT" w:hAnsi="DIN Next LT" w:cs="DIN Next LT"/>
          <w:kern w:val="0"/>
          <w:sz w:val="22"/>
          <w:szCs w:val="22"/>
        </w:rPr>
        <w:t xml:space="preserve"> initiative and expertise of our teams. </w:t>
      </w:r>
    </w:p>
    <w:p w14:paraId="44792498" w14:textId="77777777" w:rsidR="00D84943" w:rsidRDefault="00D84943" w:rsidP="00437C19">
      <w:pPr>
        <w:autoSpaceDE w:val="0"/>
        <w:autoSpaceDN w:val="0"/>
        <w:adjustRightInd w:val="0"/>
        <w:spacing w:after="0" w:line="240" w:lineRule="auto"/>
        <w:jc w:val="both"/>
        <w:rPr>
          <w:rFonts w:ascii="DIN Next LT" w:hAnsi="DIN Next LT" w:cs="DIN Next LT"/>
          <w:kern w:val="0"/>
          <w:sz w:val="22"/>
          <w:szCs w:val="22"/>
        </w:rPr>
      </w:pPr>
    </w:p>
    <w:p w14:paraId="6BDEFB27" w14:textId="63BCB110" w:rsidR="008C6B65" w:rsidRDefault="00D84943" w:rsidP="00D84943">
      <w:pPr>
        <w:autoSpaceDE w:val="0"/>
        <w:autoSpaceDN w:val="0"/>
        <w:adjustRightInd w:val="0"/>
        <w:spacing w:after="0" w:line="240" w:lineRule="auto"/>
        <w:jc w:val="both"/>
        <w:rPr>
          <w:rFonts w:ascii="DIN Next LT" w:hAnsi="DIN Next LT" w:cs="DIN Next LT"/>
          <w:kern w:val="0"/>
          <w:sz w:val="22"/>
          <w:szCs w:val="22"/>
        </w:rPr>
      </w:pPr>
      <w:r>
        <w:rPr>
          <w:rFonts w:ascii="DIN Next LT" w:hAnsi="DIN Next LT" w:cs="DIN Next LT"/>
          <w:kern w:val="0"/>
          <w:sz w:val="22"/>
          <w:szCs w:val="22"/>
        </w:rPr>
        <w:t>“</w:t>
      </w:r>
      <w:r w:rsidR="00437C19">
        <w:rPr>
          <w:rFonts w:ascii="DIN Next LT" w:hAnsi="DIN Next LT" w:cs="DIN Next LT"/>
          <w:kern w:val="0"/>
          <w:sz w:val="22"/>
          <w:szCs w:val="22"/>
        </w:rPr>
        <w:t xml:space="preserve">I could not be prouder of the way Maaden has reacted to </w:t>
      </w:r>
      <w:r w:rsidR="00C17519">
        <w:rPr>
          <w:rFonts w:ascii="DIN Next LT" w:hAnsi="DIN Next LT" w:cs="DIN Next LT"/>
          <w:kern w:val="0"/>
          <w:sz w:val="22"/>
          <w:szCs w:val="22"/>
        </w:rPr>
        <w:t>the circumstances of the quarter and the way in which our teams have adapted to maintain business continuity.</w:t>
      </w:r>
      <w:r>
        <w:rPr>
          <w:rFonts w:ascii="DIN Next LT" w:hAnsi="DIN Next LT" w:cs="DIN Next LT"/>
          <w:kern w:val="0"/>
          <w:sz w:val="22"/>
          <w:szCs w:val="22"/>
        </w:rPr>
        <w:t xml:space="preserve"> </w:t>
      </w:r>
      <w:r w:rsidR="002B1380" w:rsidRPr="002B1380">
        <w:rPr>
          <w:rFonts w:ascii="DIN Next LT" w:hAnsi="DIN Next LT" w:cs="DIN Next LT"/>
          <w:kern w:val="0"/>
          <w:sz w:val="22"/>
          <w:szCs w:val="22"/>
        </w:rPr>
        <w:t xml:space="preserve">Looking ahead, </w:t>
      </w:r>
      <w:r w:rsidR="009609F7">
        <w:rPr>
          <w:rFonts w:ascii="DIN Next LT" w:hAnsi="DIN Next LT" w:cs="DIN Next LT"/>
          <w:kern w:val="0"/>
          <w:sz w:val="22"/>
          <w:szCs w:val="22"/>
        </w:rPr>
        <w:t xml:space="preserve">as we monitor a continually evolving situation, we remain, first and foremost, committed to the safety of our people as well as the </w:t>
      </w:r>
      <w:r w:rsidR="00622F2B">
        <w:rPr>
          <w:rFonts w:ascii="DIN Next LT" w:hAnsi="DIN Next LT" w:cs="DIN Next LT"/>
          <w:kern w:val="0"/>
          <w:sz w:val="22"/>
          <w:szCs w:val="22"/>
        </w:rPr>
        <w:t>resilience of our operations.</w:t>
      </w:r>
      <w:r w:rsidR="00107DF8">
        <w:rPr>
          <w:rFonts w:ascii="DIN Next LT" w:hAnsi="DIN Next LT" w:cs="DIN Next LT"/>
          <w:kern w:val="0"/>
          <w:sz w:val="22"/>
          <w:szCs w:val="22"/>
        </w:rPr>
        <w:t>”</w:t>
      </w:r>
    </w:p>
    <w:p w14:paraId="224B2C09" w14:textId="77777777" w:rsidR="00FC652B" w:rsidRPr="004C2BDA" w:rsidRDefault="00FC652B" w:rsidP="00FC652B">
      <w:pPr>
        <w:autoSpaceDE w:val="0"/>
        <w:autoSpaceDN w:val="0"/>
        <w:adjustRightInd w:val="0"/>
        <w:spacing w:after="0" w:line="240" w:lineRule="auto"/>
        <w:rPr>
          <w:rFonts w:ascii="DIN Next LT" w:hAnsi="DIN Next LT" w:cs="DIN Next LT"/>
          <w:kern w:val="0"/>
          <w:sz w:val="22"/>
          <w:szCs w:val="22"/>
        </w:rPr>
      </w:pPr>
    </w:p>
    <w:p w14:paraId="17ADD46F" w14:textId="77777777" w:rsidR="005E4BE4" w:rsidRDefault="005E4BE4" w:rsidP="00FC652B">
      <w:pPr>
        <w:autoSpaceDE w:val="0"/>
        <w:autoSpaceDN w:val="0"/>
        <w:adjustRightInd w:val="0"/>
        <w:spacing w:after="0" w:line="240" w:lineRule="auto"/>
        <w:rPr>
          <w:rFonts w:ascii="DIN Next LT" w:hAnsi="DIN Next LT" w:cs="DIN Next LT"/>
          <w:b/>
          <w:bCs/>
          <w:kern w:val="0"/>
          <w:sz w:val="22"/>
          <w:szCs w:val="22"/>
        </w:rPr>
      </w:pPr>
    </w:p>
    <w:p w14:paraId="38E50DEB" w14:textId="13A40DB0" w:rsidR="00FC652B" w:rsidRDefault="00FC652B" w:rsidP="00FC652B">
      <w:pPr>
        <w:autoSpaceDE w:val="0"/>
        <w:autoSpaceDN w:val="0"/>
        <w:adjustRightInd w:val="0"/>
        <w:spacing w:after="0" w:line="240" w:lineRule="auto"/>
        <w:rPr>
          <w:rFonts w:ascii="DIN Next LT" w:hAnsi="DIN Next LT" w:cs="DIN Next LT"/>
          <w:b/>
          <w:bCs/>
          <w:kern w:val="0"/>
          <w:sz w:val="22"/>
          <w:szCs w:val="22"/>
        </w:rPr>
      </w:pPr>
      <w:r w:rsidRPr="004C2BDA">
        <w:rPr>
          <w:rFonts w:ascii="DIN Next LT" w:hAnsi="DIN Next LT" w:cs="DIN Next LT"/>
          <w:b/>
          <w:bCs/>
          <w:kern w:val="0"/>
          <w:sz w:val="22"/>
          <w:szCs w:val="22"/>
        </w:rPr>
        <w:t>SUMMARY OF FINANCIAL RESULTS</w:t>
      </w:r>
    </w:p>
    <w:p w14:paraId="7DC2A1E9" w14:textId="77777777" w:rsidR="002E367E" w:rsidRPr="004C2BDA" w:rsidRDefault="002E367E" w:rsidP="00FC652B">
      <w:pPr>
        <w:autoSpaceDE w:val="0"/>
        <w:autoSpaceDN w:val="0"/>
        <w:adjustRightInd w:val="0"/>
        <w:spacing w:after="0" w:line="240" w:lineRule="auto"/>
        <w:rPr>
          <w:rFonts w:ascii="DIN Next LT" w:hAnsi="DIN Next LT" w:cs="DIN Next LT"/>
          <w:b/>
          <w:bCs/>
          <w:kern w:val="0"/>
          <w:sz w:val="22"/>
          <w:szCs w:val="22"/>
        </w:rPr>
      </w:pPr>
    </w:p>
    <w:p w14:paraId="7A8C86F3" w14:textId="77777777" w:rsidR="00E77A89" w:rsidRPr="004C2BDA" w:rsidRDefault="00E77A89" w:rsidP="00DF75D6">
      <w:pPr>
        <w:spacing w:after="0" w:line="240" w:lineRule="auto"/>
        <w:jc w:val="both"/>
        <w:rPr>
          <w:rFonts w:ascii="DIN Next LT" w:hAnsi="DIN Next LT" w:cs="DIN Next LT"/>
          <w:sz w:val="22"/>
          <w:szCs w:val="22"/>
        </w:rPr>
      </w:pPr>
    </w:p>
    <w:p w14:paraId="55C0575D" w14:textId="77777777" w:rsidR="00DF75D6" w:rsidRPr="004C2BDA" w:rsidRDefault="00DF75D6" w:rsidP="00DF75D6">
      <w:pPr>
        <w:spacing w:after="0" w:line="240" w:lineRule="auto"/>
        <w:jc w:val="both"/>
        <w:rPr>
          <w:rFonts w:ascii="DIN Next LT" w:hAnsi="DIN Next LT" w:cs="DIN Next LT"/>
          <w:b/>
          <w:bCs/>
          <w:sz w:val="22"/>
          <w:szCs w:val="22"/>
        </w:rPr>
      </w:pPr>
      <w:r w:rsidRPr="004C2BDA">
        <w:rPr>
          <w:rFonts w:ascii="DIN Next LT" w:hAnsi="DIN Next LT" w:cs="DIN Next LT"/>
          <w:b/>
          <w:bCs/>
          <w:sz w:val="22"/>
          <w:szCs w:val="22"/>
        </w:rPr>
        <w:t>PHOSPHATE</w:t>
      </w:r>
    </w:p>
    <w:tbl>
      <w:tblPr>
        <w:tblW w:w="5149" w:type="pct"/>
        <w:tblLayout w:type="fixed"/>
        <w:tblLook w:val="04A0" w:firstRow="1" w:lastRow="0" w:firstColumn="1" w:lastColumn="0" w:noHBand="0" w:noVBand="1"/>
      </w:tblPr>
      <w:tblGrid>
        <w:gridCol w:w="2499"/>
        <w:gridCol w:w="1429"/>
        <w:gridCol w:w="1428"/>
        <w:gridCol w:w="1428"/>
        <w:gridCol w:w="1428"/>
        <w:gridCol w:w="1427"/>
      </w:tblGrid>
      <w:tr w:rsidR="00062AE9" w:rsidRPr="004C2BDA" w14:paraId="26D3DDEB" w14:textId="77777777" w:rsidTr="009D7333">
        <w:trPr>
          <w:trHeight w:val="136"/>
        </w:trPr>
        <w:tc>
          <w:tcPr>
            <w:tcW w:w="1296" w:type="pct"/>
            <w:tcBorders>
              <w:top w:val="nil"/>
              <w:left w:val="nil"/>
              <w:right w:val="nil"/>
            </w:tcBorders>
            <w:vAlign w:val="center"/>
          </w:tcPr>
          <w:p w14:paraId="4EE4624D" w14:textId="77777777" w:rsidR="00062AE9" w:rsidRPr="004C2BDA" w:rsidRDefault="00062AE9" w:rsidP="005E27D5">
            <w:pPr>
              <w:spacing w:after="0" w:line="240" w:lineRule="auto"/>
              <w:rPr>
                <w:rFonts w:ascii="DIN Next LT" w:eastAsia="DINNextLTPro-Regular" w:hAnsi="DIN Next LT" w:cs="DIN Next LT"/>
                <w:b/>
                <w:bCs/>
                <w:sz w:val="22"/>
                <w:szCs w:val="22"/>
              </w:rPr>
            </w:pPr>
            <w:r w:rsidRPr="00300895">
              <w:rPr>
                <w:rFonts w:ascii="DIN Next LT" w:eastAsia="Times New Roman" w:hAnsi="DIN Next LT" w:cs="DIN Next LT"/>
                <w:b/>
                <w:bCs/>
                <w:color w:val="B8A567"/>
                <w:sz w:val="22"/>
                <w:szCs w:val="22"/>
              </w:rPr>
              <w:t>$</w:t>
            </w:r>
            <w:r w:rsidRPr="004C2BDA">
              <w:rPr>
                <w:rFonts w:ascii="DIN Next LT" w:eastAsia="Times New Roman" w:hAnsi="DIN Next LT" w:cs="DIN Next LT"/>
                <w:b/>
                <w:bCs/>
                <w:color w:val="B8A567"/>
                <w:sz w:val="22"/>
                <w:szCs w:val="22"/>
              </w:rPr>
              <w:t xml:space="preserve"> (million)</w:t>
            </w:r>
          </w:p>
        </w:tc>
        <w:tc>
          <w:tcPr>
            <w:tcW w:w="741" w:type="pct"/>
            <w:tcBorders>
              <w:top w:val="nil"/>
              <w:left w:val="nil"/>
              <w:bottom w:val="single" w:sz="8" w:space="0" w:color="343631"/>
              <w:right w:val="single" w:sz="4" w:space="0" w:color="BFBFBF"/>
            </w:tcBorders>
            <w:shd w:val="clear" w:color="auto" w:fill="F7F3E9"/>
            <w:vAlign w:val="center"/>
          </w:tcPr>
          <w:p w14:paraId="2A9C03CF" w14:textId="333A7981" w:rsidR="00062AE9" w:rsidRPr="004C2BDA" w:rsidRDefault="00062AE9" w:rsidP="005E27D5">
            <w:pPr>
              <w:spacing w:after="0" w:line="240" w:lineRule="auto"/>
              <w:jc w:val="center"/>
              <w:rPr>
                <w:rFonts w:ascii="DIN Next LT" w:eastAsia="Times New Roman" w:hAnsi="DIN Next LT" w:cs="DIN Next LT"/>
                <w:b/>
                <w:bCs/>
                <w:color w:val="017C40"/>
                <w:sz w:val="22"/>
                <w:szCs w:val="22"/>
              </w:rPr>
            </w:pPr>
            <w:r w:rsidRPr="00BA56D3">
              <w:rPr>
                <w:rFonts w:ascii="DIN Next LT" w:eastAsia="Times New Roman" w:hAnsi="DIN Next LT" w:cs="DIN Next LT"/>
                <w:b/>
                <w:bCs/>
                <w:color w:val="B8A567"/>
                <w:sz w:val="22"/>
                <w:szCs w:val="22"/>
              </w:rPr>
              <w:t>Q</w:t>
            </w:r>
            <w:r>
              <w:rPr>
                <w:rFonts w:ascii="DIN Next LT" w:eastAsia="Times New Roman" w:hAnsi="DIN Next LT" w:cs="DIN Next LT"/>
                <w:b/>
                <w:bCs/>
                <w:color w:val="B8A567"/>
                <w:sz w:val="22"/>
                <w:szCs w:val="22"/>
              </w:rPr>
              <w:t>1</w:t>
            </w:r>
            <w:r w:rsidRPr="00BA56D3">
              <w:rPr>
                <w:rFonts w:ascii="DIN Next LT" w:eastAsia="Times New Roman" w:hAnsi="DIN Next LT" w:cs="DIN Next LT"/>
                <w:b/>
                <w:bCs/>
                <w:color w:val="B8A567"/>
                <w:sz w:val="22"/>
                <w:szCs w:val="22"/>
              </w:rPr>
              <w:t>-FY2</w:t>
            </w:r>
            <w:r>
              <w:rPr>
                <w:rFonts w:ascii="DIN Next LT" w:eastAsia="Times New Roman" w:hAnsi="DIN Next LT" w:cs="DIN Next LT"/>
                <w:b/>
                <w:bCs/>
                <w:color w:val="B8A567"/>
                <w:sz w:val="22"/>
                <w:szCs w:val="22"/>
              </w:rPr>
              <w:t>6</w:t>
            </w:r>
          </w:p>
        </w:tc>
        <w:tc>
          <w:tcPr>
            <w:tcW w:w="741" w:type="pct"/>
            <w:tcBorders>
              <w:top w:val="nil"/>
              <w:left w:val="nil"/>
              <w:bottom w:val="single" w:sz="8" w:space="0" w:color="343631"/>
              <w:right w:val="single" w:sz="4" w:space="0" w:color="BFBFBF"/>
            </w:tcBorders>
            <w:vAlign w:val="center"/>
          </w:tcPr>
          <w:p w14:paraId="3E4ADBE4" w14:textId="63EB301A" w:rsidR="00062AE9" w:rsidRPr="004C2BDA" w:rsidRDefault="00062AE9" w:rsidP="005E27D5">
            <w:pPr>
              <w:spacing w:after="0" w:line="240" w:lineRule="auto"/>
              <w:jc w:val="center"/>
              <w:rPr>
                <w:rFonts w:ascii="DIN Next LT" w:eastAsia="Times New Roman" w:hAnsi="DIN Next LT" w:cs="DIN Next LT"/>
                <w:color w:val="B8A567"/>
                <w:sz w:val="22"/>
                <w:szCs w:val="22"/>
              </w:rPr>
            </w:pPr>
            <w:r w:rsidRPr="00BA56D3">
              <w:rPr>
                <w:rFonts w:ascii="DIN Next LT" w:eastAsia="Times New Roman" w:hAnsi="DIN Next LT" w:cs="DIN Next LT"/>
                <w:color w:val="B8A567"/>
                <w:sz w:val="22"/>
                <w:szCs w:val="22"/>
              </w:rPr>
              <w:t>Q</w:t>
            </w:r>
            <w:r>
              <w:rPr>
                <w:rFonts w:ascii="DIN Next LT" w:eastAsia="Times New Roman" w:hAnsi="DIN Next LT" w:cs="DIN Next LT"/>
                <w:color w:val="B8A567"/>
                <w:sz w:val="22"/>
                <w:szCs w:val="22"/>
              </w:rPr>
              <w:t>1</w:t>
            </w:r>
            <w:r w:rsidRPr="00BA56D3">
              <w:rPr>
                <w:rFonts w:ascii="DIN Next LT" w:eastAsia="Times New Roman" w:hAnsi="DIN Next LT" w:cs="DIN Next LT"/>
                <w:color w:val="B8A567"/>
                <w:sz w:val="22"/>
                <w:szCs w:val="22"/>
              </w:rPr>
              <w:t>-FY2</w:t>
            </w:r>
            <w:r>
              <w:rPr>
                <w:rFonts w:ascii="DIN Next LT" w:eastAsia="Times New Roman" w:hAnsi="DIN Next LT" w:cs="DIN Next LT"/>
                <w:color w:val="B8A567"/>
                <w:sz w:val="22"/>
                <w:szCs w:val="22"/>
              </w:rPr>
              <w:t>5</w:t>
            </w:r>
          </w:p>
        </w:tc>
        <w:tc>
          <w:tcPr>
            <w:tcW w:w="741" w:type="pct"/>
            <w:tcBorders>
              <w:top w:val="nil"/>
              <w:left w:val="nil"/>
              <w:bottom w:val="single" w:sz="8" w:space="0" w:color="343631"/>
              <w:right w:val="single" w:sz="18" w:space="0" w:color="343631"/>
            </w:tcBorders>
            <w:shd w:val="clear" w:color="auto" w:fill="F2F2F2"/>
            <w:vAlign w:val="center"/>
          </w:tcPr>
          <w:p w14:paraId="58E27C70" w14:textId="53F305EE" w:rsidR="00062AE9" w:rsidRPr="004C2BDA" w:rsidRDefault="00062AE9" w:rsidP="005E27D5">
            <w:pPr>
              <w:spacing w:after="0" w:line="240" w:lineRule="auto"/>
              <w:jc w:val="center"/>
              <w:rPr>
                <w:rFonts w:ascii="DIN Next LT" w:eastAsia="Times New Roman" w:hAnsi="DIN Next LT" w:cs="DIN Next LT"/>
                <w:i/>
                <w:iCs/>
                <w:color w:val="B8A567"/>
                <w:sz w:val="22"/>
                <w:szCs w:val="22"/>
              </w:rPr>
            </w:pPr>
            <w:r w:rsidRPr="00BA56D3">
              <w:rPr>
                <w:rFonts w:ascii="DIN Next LT" w:eastAsia="Times New Roman" w:hAnsi="DIN Next LT" w:cs="DIN Next LT"/>
                <w:i/>
                <w:iCs/>
                <w:color w:val="B8A567"/>
                <w:sz w:val="22"/>
                <w:szCs w:val="22"/>
              </w:rPr>
              <w:t>Variance</w:t>
            </w:r>
          </w:p>
        </w:tc>
        <w:tc>
          <w:tcPr>
            <w:tcW w:w="741" w:type="pct"/>
            <w:tcBorders>
              <w:top w:val="nil"/>
              <w:left w:val="single" w:sz="18" w:space="0" w:color="343631"/>
              <w:bottom w:val="single" w:sz="8" w:space="0" w:color="343631"/>
              <w:right w:val="single" w:sz="4" w:space="0" w:color="A6A6A6"/>
            </w:tcBorders>
            <w:shd w:val="clear" w:color="auto" w:fill="F7F3E9"/>
            <w:vAlign w:val="center"/>
          </w:tcPr>
          <w:p w14:paraId="61108307" w14:textId="1F4E69DC" w:rsidR="00062AE9" w:rsidRPr="004C2BDA" w:rsidRDefault="00062AE9" w:rsidP="004D0A7D">
            <w:pPr>
              <w:spacing w:after="0" w:line="240" w:lineRule="auto"/>
              <w:jc w:val="center"/>
              <w:rPr>
                <w:rFonts w:ascii="DIN Next LT" w:eastAsia="Times New Roman" w:hAnsi="DIN Next LT" w:cs="DIN Next LT"/>
                <w:color w:val="B8A567"/>
                <w:sz w:val="22"/>
                <w:szCs w:val="22"/>
              </w:rPr>
            </w:pPr>
            <w:r>
              <w:rPr>
                <w:rFonts w:ascii="DIN Next LT" w:eastAsia="Times New Roman" w:hAnsi="DIN Next LT" w:cs="DIN Next LT"/>
                <w:color w:val="B8A567"/>
                <w:sz w:val="22"/>
                <w:szCs w:val="22"/>
              </w:rPr>
              <w:t>Q4-</w:t>
            </w:r>
            <w:r w:rsidRPr="00BA56D3">
              <w:rPr>
                <w:rFonts w:ascii="DIN Next LT" w:eastAsia="Times New Roman" w:hAnsi="DIN Next LT" w:cs="DIN Next LT"/>
                <w:color w:val="B8A567"/>
                <w:sz w:val="22"/>
                <w:szCs w:val="22"/>
              </w:rPr>
              <w:t>FY</w:t>
            </w:r>
            <w:r>
              <w:rPr>
                <w:rFonts w:ascii="DIN Next LT" w:eastAsia="Times New Roman" w:hAnsi="DIN Next LT" w:cs="DIN Next LT"/>
                <w:color w:val="B8A567"/>
                <w:sz w:val="22"/>
                <w:szCs w:val="22"/>
              </w:rPr>
              <w:t>25</w:t>
            </w:r>
          </w:p>
        </w:tc>
        <w:tc>
          <w:tcPr>
            <w:tcW w:w="740" w:type="pct"/>
            <w:tcBorders>
              <w:top w:val="nil"/>
              <w:left w:val="nil"/>
              <w:bottom w:val="single" w:sz="8" w:space="0" w:color="343631"/>
              <w:right w:val="nil"/>
            </w:tcBorders>
            <w:shd w:val="clear" w:color="auto" w:fill="F2F2F2"/>
            <w:vAlign w:val="center"/>
          </w:tcPr>
          <w:p w14:paraId="517F9715" w14:textId="237A4A66" w:rsidR="00062AE9" w:rsidRPr="004C2BDA" w:rsidRDefault="00062AE9" w:rsidP="005E27D5">
            <w:pPr>
              <w:spacing w:after="0" w:line="240" w:lineRule="auto"/>
              <w:jc w:val="center"/>
              <w:rPr>
                <w:rFonts w:ascii="DIN Next LT" w:eastAsia="Times New Roman" w:hAnsi="DIN Next LT" w:cs="DIN Next LT"/>
                <w:i/>
                <w:iCs/>
                <w:color w:val="B8A567"/>
                <w:sz w:val="22"/>
                <w:szCs w:val="22"/>
              </w:rPr>
            </w:pPr>
            <w:r w:rsidRPr="00BA56D3">
              <w:rPr>
                <w:rFonts w:ascii="DIN Next LT" w:eastAsia="Times New Roman" w:hAnsi="DIN Next LT" w:cs="DIN Next LT"/>
                <w:i/>
                <w:iCs/>
                <w:color w:val="B8A567"/>
                <w:sz w:val="22"/>
                <w:szCs w:val="22"/>
              </w:rPr>
              <w:t>Variance</w:t>
            </w:r>
          </w:p>
        </w:tc>
      </w:tr>
      <w:tr w:rsidR="00062AE9" w:rsidRPr="004C2BDA" w14:paraId="7605B497" w14:textId="77777777" w:rsidTr="009D7333">
        <w:trPr>
          <w:trHeight w:val="144"/>
        </w:trPr>
        <w:tc>
          <w:tcPr>
            <w:tcW w:w="1296" w:type="pct"/>
            <w:tcBorders>
              <w:top w:val="nil"/>
              <w:left w:val="nil"/>
              <w:right w:val="nil"/>
            </w:tcBorders>
            <w:vAlign w:val="center"/>
          </w:tcPr>
          <w:p w14:paraId="28F53951" w14:textId="62679A48" w:rsidR="00062AE9" w:rsidRPr="004C2BDA" w:rsidRDefault="008D2D82" w:rsidP="00522DFC">
            <w:pPr>
              <w:spacing w:after="0" w:line="240" w:lineRule="auto"/>
              <w:rPr>
                <w:rFonts w:ascii="DIN Next LT" w:eastAsia="DINNextLTPro-Regular" w:hAnsi="DIN Next LT" w:cs="DIN Next LT"/>
                <w:b/>
                <w:bCs/>
                <w:sz w:val="22"/>
                <w:szCs w:val="22"/>
              </w:rPr>
            </w:pPr>
            <w:r>
              <w:rPr>
                <w:rFonts w:ascii="DIN Next LT" w:eastAsia="DINNextLTPro-Regular" w:hAnsi="DIN Next LT" w:cs="DIN Next LT"/>
                <w:b/>
                <w:bCs/>
                <w:sz w:val="22"/>
                <w:szCs w:val="22"/>
              </w:rPr>
              <w:t>Revenue</w:t>
            </w:r>
          </w:p>
        </w:tc>
        <w:tc>
          <w:tcPr>
            <w:tcW w:w="741" w:type="pct"/>
            <w:tcBorders>
              <w:top w:val="single" w:sz="8" w:space="0" w:color="343631"/>
              <w:left w:val="nil"/>
              <w:bottom w:val="single" w:sz="8" w:space="0" w:color="B8A567"/>
              <w:right w:val="single" w:sz="4" w:space="0" w:color="BFBFBF"/>
            </w:tcBorders>
            <w:shd w:val="clear" w:color="auto" w:fill="F7F3E9"/>
            <w:vAlign w:val="center"/>
          </w:tcPr>
          <w:p w14:paraId="62A4B410" w14:textId="2448433B"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1,059</w:t>
            </w:r>
          </w:p>
        </w:tc>
        <w:tc>
          <w:tcPr>
            <w:tcW w:w="741" w:type="pct"/>
            <w:tcBorders>
              <w:top w:val="single" w:sz="8" w:space="0" w:color="343631"/>
              <w:left w:val="nil"/>
              <w:bottom w:val="single" w:sz="8" w:space="0" w:color="B8A567"/>
              <w:right w:val="single" w:sz="4" w:space="0" w:color="BFBFBF"/>
            </w:tcBorders>
            <w:vAlign w:val="center"/>
          </w:tcPr>
          <w:p w14:paraId="639CA945" w14:textId="0C69FF31"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hAnsi="DIN Next LT" w:cs="DIN Next LT"/>
                <w:color w:val="000000"/>
                <w:sz w:val="22"/>
                <w:szCs w:val="22"/>
              </w:rPr>
              <w:t>1,192</w:t>
            </w:r>
          </w:p>
        </w:tc>
        <w:tc>
          <w:tcPr>
            <w:tcW w:w="741" w:type="pct"/>
            <w:tcBorders>
              <w:top w:val="single" w:sz="8" w:space="0" w:color="343631"/>
              <w:left w:val="nil"/>
              <w:bottom w:val="single" w:sz="8" w:space="0" w:color="B8A567"/>
              <w:right w:val="single" w:sz="18" w:space="0" w:color="343631"/>
            </w:tcBorders>
            <w:shd w:val="clear" w:color="auto" w:fill="F2F2F2"/>
            <w:vAlign w:val="center"/>
          </w:tcPr>
          <w:p w14:paraId="0C16A5A5" w14:textId="6A74134E" w:rsidR="00062AE9" w:rsidRPr="004C2BDA" w:rsidRDefault="00B5409F"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11</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c>
          <w:tcPr>
            <w:tcW w:w="741" w:type="pct"/>
            <w:tcBorders>
              <w:top w:val="single" w:sz="8" w:space="0" w:color="343631"/>
              <w:left w:val="single" w:sz="18" w:space="0" w:color="343631"/>
              <w:bottom w:val="single" w:sz="8" w:space="0" w:color="B8A567"/>
              <w:right w:val="single" w:sz="4" w:space="0" w:color="A6A6A6"/>
            </w:tcBorders>
            <w:shd w:val="clear" w:color="auto" w:fill="F7F3E9"/>
            <w:vAlign w:val="center"/>
          </w:tcPr>
          <w:p w14:paraId="56176511" w14:textId="5796103A" w:rsidR="00062AE9" w:rsidRPr="005E27D5" w:rsidRDefault="00062AE9" w:rsidP="004D0A7D">
            <w:pPr>
              <w:spacing w:after="0" w:line="240" w:lineRule="auto"/>
              <w:jc w:val="right"/>
              <w:rPr>
                <w:rFonts w:ascii="DIN Next LT" w:eastAsia="DINNextLTPro-Regular" w:hAnsi="DIN Next LT" w:cs="DIN Next LT"/>
                <w:sz w:val="22"/>
                <w:szCs w:val="22"/>
              </w:rPr>
            </w:pPr>
            <w:r w:rsidRPr="005E27D5">
              <w:rPr>
                <w:rFonts w:ascii="DIN Next LT" w:hAnsi="DIN Next LT" w:cs="DIN Next LT"/>
                <w:color w:val="000000"/>
                <w:sz w:val="22"/>
                <w:szCs w:val="22"/>
              </w:rPr>
              <w:t>1,464</w:t>
            </w:r>
          </w:p>
        </w:tc>
        <w:tc>
          <w:tcPr>
            <w:tcW w:w="740" w:type="pct"/>
            <w:tcBorders>
              <w:top w:val="single" w:sz="8" w:space="0" w:color="343631"/>
              <w:left w:val="nil"/>
              <w:bottom w:val="single" w:sz="8" w:space="0" w:color="B8A567"/>
              <w:right w:val="nil"/>
            </w:tcBorders>
            <w:shd w:val="clear" w:color="auto" w:fill="F2F2F2"/>
            <w:vAlign w:val="center"/>
          </w:tcPr>
          <w:p w14:paraId="5A8D33B6" w14:textId="02159705" w:rsidR="00062AE9" w:rsidRPr="004C2BDA" w:rsidRDefault="00B5409F"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28</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05439A66" w14:textId="77777777" w:rsidTr="009D7333">
        <w:trPr>
          <w:trHeight w:val="144"/>
        </w:trPr>
        <w:tc>
          <w:tcPr>
            <w:tcW w:w="1296" w:type="pct"/>
            <w:tcBorders>
              <w:top w:val="nil"/>
              <w:left w:val="nil"/>
              <w:right w:val="nil"/>
            </w:tcBorders>
            <w:vAlign w:val="center"/>
          </w:tcPr>
          <w:p w14:paraId="53EDFF23"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EBITDA </w:t>
            </w:r>
          </w:p>
        </w:tc>
        <w:tc>
          <w:tcPr>
            <w:tcW w:w="741" w:type="pct"/>
            <w:tcBorders>
              <w:top w:val="single" w:sz="8" w:space="0" w:color="B8A567"/>
              <w:left w:val="nil"/>
              <w:bottom w:val="single" w:sz="8" w:space="0" w:color="B8A567"/>
              <w:right w:val="single" w:sz="4" w:space="0" w:color="BFBFBF"/>
            </w:tcBorders>
            <w:shd w:val="clear" w:color="auto" w:fill="F7F3E9"/>
            <w:vAlign w:val="center"/>
          </w:tcPr>
          <w:p w14:paraId="6C61CC56" w14:textId="114F3BB7" w:rsidR="00062AE9" w:rsidRPr="004C2BDA" w:rsidRDefault="00B5409F"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480</w:t>
            </w:r>
          </w:p>
        </w:tc>
        <w:tc>
          <w:tcPr>
            <w:tcW w:w="741" w:type="pct"/>
            <w:tcBorders>
              <w:top w:val="single" w:sz="8" w:space="0" w:color="B8A567"/>
              <w:left w:val="nil"/>
              <w:bottom w:val="single" w:sz="8" w:space="0" w:color="B8A567"/>
              <w:right w:val="single" w:sz="4" w:space="0" w:color="BFBFBF"/>
            </w:tcBorders>
            <w:vAlign w:val="center"/>
          </w:tcPr>
          <w:p w14:paraId="7EE8EB49" w14:textId="79B31560" w:rsidR="00062AE9" w:rsidRPr="004C2BDA" w:rsidRDefault="00AD047D" w:rsidP="00522DFC">
            <w:pPr>
              <w:spacing w:after="0" w:line="240" w:lineRule="auto"/>
              <w:jc w:val="right"/>
              <w:rPr>
                <w:rFonts w:ascii="DIN Next LT" w:eastAsia="DINNextLTPro-Regular" w:hAnsi="DIN Next LT" w:cs="DIN Next LT"/>
                <w:sz w:val="22"/>
                <w:szCs w:val="22"/>
              </w:rPr>
            </w:pPr>
            <w:r>
              <w:rPr>
                <w:rFonts w:ascii="DIN Next LT" w:hAnsi="DIN Next LT" w:cs="DIN Next LT"/>
                <w:color w:val="000000"/>
                <w:sz w:val="22"/>
                <w:szCs w:val="22"/>
              </w:rPr>
              <w:t>578</w:t>
            </w:r>
          </w:p>
        </w:tc>
        <w:tc>
          <w:tcPr>
            <w:tcW w:w="741" w:type="pct"/>
            <w:tcBorders>
              <w:top w:val="single" w:sz="8" w:space="0" w:color="B8A567"/>
              <w:left w:val="nil"/>
              <w:bottom w:val="single" w:sz="8" w:space="0" w:color="B8A567"/>
              <w:right w:val="single" w:sz="18" w:space="0" w:color="343631"/>
            </w:tcBorders>
            <w:shd w:val="clear" w:color="auto" w:fill="F2F2F2"/>
            <w:vAlign w:val="center"/>
          </w:tcPr>
          <w:p w14:paraId="48974D06" w14:textId="06A4E6E2" w:rsidR="00062AE9" w:rsidRPr="004C2BDA" w:rsidRDefault="00B5409F"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Pr>
                <w:rFonts w:ascii="DIN Next LT" w:eastAsia="DINNextLTPro-Regular" w:hAnsi="DIN Next LT" w:cs="DIN Next LT"/>
                <w:i/>
                <w:iCs/>
                <w:sz w:val="22"/>
                <w:szCs w:val="22"/>
              </w:rPr>
              <w:t>17)</w:t>
            </w:r>
            <w:r w:rsidR="00062AE9">
              <w:rPr>
                <w:rFonts w:ascii="DIN Next LT" w:eastAsia="DINNextLTPro-Regular" w:hAnsi="DIN Next LT" w:cs="DIN Next LT"/>
                <w:i/>
                <w:iCs/>
                <w:sz w:val="22"/>
                <w:szCs w:val="22"/>
              </w:rPr>
              <w:t>%</w:t>
            </w:r>
            <w:proofErr w:type="gramEnd"/>
          </w:p>
        </w:tc>
        <w:tc>
          <w:tcPr>
            <w:tcW w:w="741" w:type="pct"/>
            <w:tcBorders>
              <w:top w:val="single" w:sz="8" w:space="0" w:color="B8A567"/>
              <w:left w:val="single" w:sz="18" w:space="0" w:color="343631"/>
              <w:bottom w:val="single" w:sz="8" w:space="0" w:color="B8A567"/>
              <w:right w:val="single" w:sz="4" w:space="0" w:color="A6A6A6"/>
            </w:tcBorders>
            <w:shd w:val="clear" w:color="auto" w:fill="F7F3E9"/>
            <w:vAlign w:val="center"/>
          </w:tcPr>
          <w:p w14:paraId="20A0B5F0" w14:textId="3E36D0C9" w:rsidR="00062AE9" w:rsidRPr="005E27D5" w:rsidRDefault="00062AE9" w:rsidP="004D0A7D">
            <w:pPr>
              <w:spacing w:after="0" w:line="240" w:lineRule="auto"/>
              <w:jc w:val="right"/>
              <w:rPr>
                <w:rFonts w:ascii="DIN Next LT" w:eastAsia="DINNextLTPro-Regular" w:hAnsi="DIN Next LT" w:cs="DIN Next LT"/>
                <w:sz w:val="22"/>
                <w:szCs w:val="22"/>
              </w:rPr>
            </w:pPr>
            <w:r w:rsidRPr="005E27D5">
              <w:rPr>
                <w:rFonts w:ascii="DIN Next LT" w:hAnsi="DIN Next LT" w:cs="DIN Next LT"/>
                <w:color w:val="000000"/>
                <w:sz w:val="22"/>
                <w:szCs w:val="22"/>
              </w:rPr>
              <w:t>585</w:t>
            </w:r>
          </w:p>
        </w:tc>
        <w:tc>
          <w:tcPr>
            <w:tcW w:w="740" w:type="pct"/>
            <w:tcBorders>
              <w:top w:val="single" w:sz="8" w:space="0" w:color="B8A567"/>
              <w:left w:val="nil"/>
              <w:bottom w:val="single" w:sz="8" w:space="0" w:color="B8A567"/>
              <w:right w:val="nil"/>
            </w:tcBorders>
            <w:shd w:val="clear" w:color="auto" w:fill="F2F2F2"/>
            <w:vAlign w:val="center"/>
          </w:tcPr>
          <w:p w14:paraId="507074F4" w14:textId="7413BFD9" w:rsidR="00062AE9" w:rsidRPr="004C2BDA" w:rsidRDefault="00B5409F"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Pr>
                <w:rFonts w:ascii="DIN Next LT" w:eastAsia="DINNextLTPro-Regular" w:hAnsi="DIN Next LT" w:cs="DIN Next LT"/>
                <w:i/>
                <w:iCs/>
                <w:sz w:val="22"/>
                <w:szCs w:val="22"/>
              </w:rPr>
              <w:t>18)</w:t>
            </w:r>
            <w:r w:rsidR="00062AE9">
              <w:rPr>
                <w:rFonts w:ascii="DIN Next LT" w:eastAsia="DINNextLTPro-Regular" w:hAnsi="DIN Next LT" w:cs="DIN Next LT"/>
                <w:i/>
                <w:iCs/>
                <w:sz w:val="22"/>
                <w:szCs w:val="22"/>
              </w:rPr>
              <w:t>%</w:t>
            </w:r>
            <w:proofErr w:type="gramEnd"/>
          </w:p>
        </w:tc>
      </w:tr>
      <w:tr w:rsidR="00062AE9" w:rsidRPr="004C2BDA" w14:paraId="53CD820A" w14:textId="77777777" w:rsidTr="009D7333">
        <w:trPr>
          <w:trHeight w:val="144"/>
        </w:trPr>
        <w:tc>
          <w:tcPr>
            <w:tcW w:w="1296" w:type="pct"/>
            <w:tcBorders>
              <w:left w:val="nil"/>
              <w:bottom w:val="triple" w:sz="4" w:space="0" w:color="6B634B"/>
              <w:right w:val="nil"/>
            </w:tcBorders>
            <w:vAlign w:val="center"/>
          </w:tcPr>
          <w:p w14:paraId="0D86E1CC" w14:textId="77777777" w:rsidR="00062AE9" w:rsidRPr="004C2BDA" w:rsidRDefault="00062AE9" w:rsidP="00522DFC">
            <w:pPr>
              <w:spacing w:after="0" w:line="240" w:lineRule="auto"/>
              <w:rPr>
                <w:rFonts w:ascii="DIN Next LT" w:eastAsia="DINNextLTPro-Regular" w:hAnsi="DIN Next LT" w:cs="DIN Next LT"/>
                <w:i/>
                <w:iCs/>
                <w:sz w:val="22"/>
                <w:szCs w:val="22"/>
              </w:rPr>
            </w:pPr>
            <w:r w:rsidRPr="004C2BDA">
              <w:rPr>
                <w:rFonts w:ascii="DIN Next LT" w:eastAsia="DINNextLTPro-Regular" w:hAnsi="DIN Next LT" w:cs="DIN Next LT"/>
                <w:i/>
                <w:iCs/>
                <w:sz w:val="22"/>
                <w:szCs w:val="22"/>
              </w:rPr>
              <w:t>EBITDA margin</w:t>
            </w:r>
          </w:p>
        </w:tc>
        <w:tc>
          <w:tcPr>
            <w:tcW w:w="741" w:type="pct"/>
            <w:tcBorders>
              <w:top w:val="single" w:sz="8" w:space="0" w:color="B8A567"/>
              <w:left w:val="nil"/>
              <w:bottom w:val="triple" w:sz="4" w:space="0" w:color="6B634B"/>
              <w:right w:val="single" w:sz="4" w:space="0" w:color="BFBFBF"/>
            </w:tcBorders>
            <w:shd w:val="clear" w:color="auto" w:fill="F7F3E9"/>
            <w:vAlign w:val="center"/>
          </w:tcPr>
          <w:p w14:paraId="0A90FF11" w14:textId="106D3156" w:rsidR="00062AE9" w:rsidRPr="004C2BDA" w:rsidRDefault="00527D97" w:rsidP="00522DFC">
            <w:pPr>
              <w:spacing w:after="0" w:line="240" w:lineRule="auto"/>
              <w:jc w:val="right"/>
              <w:rPr>
                <w:rFonts w:ascii="DIN Next LT" w:eastAsia="DINNextLTPro-Regular" w:hAnsi="DIN Next LT" w:cs="DIN Next LT"/>
                <w:b/>
                <w:bCs/>
                <w:i/>
                <w:iCs/>
                <w:sz w:val="22"/>
                <w:szCs w:val="22"/>
              </w:rPr>
            </w:pPr>
            <w:r>
              <w:rPr>
                <w:rFonts w:ascii="DIN Next LT" w:eastAsia="DINNextLTPro-Regular" w:hAnsi="DIN Next LT" w:cs="DIN Next LT"/>
                <w:b/>
                <w:bCs/>
                <w:i/>
                <w:iCs/>
                <w:sz w:val="22"/>
                <w:szCs w:val="22"/>
              </w:rPr>
              <w:t>45</w:t>
            </w:r>
            <w:r w:rsidR="00062AE9">
              <w:rPr>
                <w:rFonts w:ascii="DIN Next LT" w:eastAsia="DINNextLTPro-Regular" w:hAnsi="DIN Next LT" w:cs="DIN Next LT"/>
                <w:b/>
                <w:bCs/>
                <w:i/>
                <w:iCs/>
                <w:sz w:val="22"/>
                <w:szCs w:val="22"/>
              </w:rPr>
              <w:t>%</w:t>
            </w:r>
          </w:p>
        </w:tc>
        <w:tc>
          <w:tcPr>
            <w:tcW w:w="741" w:type="pct"/>
            <w:tcBorders>
              <w:top w:val="single" w:sz="8" w:space="0" w:color="B8A567"/>
              <w:left w:val="nil"/>
              <w:bottom w:val="triple" w:sz="4" w:space="0" w:color="6B634B"/>
              <w:right w:val="single" w:sz="4" w:space="0" w:color="BFBFBF"/>
            </w:tcBorders>
            <w:vAlign w:val="center"/>
          </w:tcPr>
          <w:p w14:paraId="7795EC3D" w14:textId="55B4A874"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48</w:t>
            </w:r>
            <w:r w:rsidRPr="004C2BDA">
              <w:rPr>
                <w:rFonts w:ascii="DIN Next LT" w:eastAsia="DINNextLTPro-Regular" w:hAnsi="DIN Next LT" w:cs="DIN Next LT"/>
                <w:i/>
                <w:iCs/>
                <w:sz w:val="22"/>
                <w:szCs w:val="22"/>
              </w:rPr>
              <w:t>%</w:t>
            </w:r>
          </w:p>
        </w:tc>
        <w:tc>
          <w:tcPr>
            <w:tcW w:w="741" w:type="pct"/>
            <w:tcBorders>
              <w:top w:val="single" w:sz="8" w:space="0" w:color="B8A567"/>
              <w:left w:val="nil"/>
              <w:bottom w:val="triple" w:sz="4" w:space="0" w:color="6B634B"/>
              <w:right w:val="single" w:sz="18" w:space="0" w:color="343631"/>
            </w:tcBorders>
            <w:shd w:val="clear" w:color="auto" w:fill="F2F2F2"/>
            <w:vAlign w:val="center"/>
          </w:tcPr>
          <w:p w14:paraId="4D94E1C9" w14:textId="73F37D5C"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Pr>
                <w:rFonts w:ascii="DIN Next LT" w:eastAsia="DINNextLTPro-Regular" w:hAnsi="DIN Next LT" w:cs="DIN Next LT"/>
                <w:i/>
                <w:iCs/>
                <w:sz w:val="22"/>
                <w:szCs w:val="22"/>
              </w:rPr>
              <w:t>3)pp</w:t>
            </w:r>
            <w:proofErr w:type="gramEnd"/>
          </w:p>
        </w:tc>
        <w:tc>
          <w:tcPr>
            <w:tcW w:w="741" w:type="pct"/>
            <w:tcBorders>
              <w:top w:val="single" w:sz="8" w:space="0" w:color="B8A567"/>
              <w:left w:val="single" w:sz="18" w:space="0" w:color="343631"/>
              <w:bottom w:val="triple" w:sz="4" w:space="0" w:color="6B634B"/>
              <w:right w:val="single" w:sz="4" w:space="0" w:color="A6A6A6"/>
            </w:tcBorders>
            <w:shd w:val="clear" w:color="auto" w:fill="F7F3E9"/>
            <w:vAlign w:val="center"/>
          </w:tcPr>
          <w:p w14:paraId="0EFFFA90" w14:textId="29B198E7" w:rsidR="00062AE9" w:rsidRPr="005E27D5" w:rsidRDefault="00062AE9" w:rsidP="004D0A7D">
            <w:pPr>
              <w:spacing w:after="0" w:line="240" w:lineRule="auto"/>
              <w:jc w:val="right"/>
              <w:rPr>
                <w:rFonts w:ascii="DIN Next LT" w:eastAsia="DINNextLTPro-Regular" w:hAnsi="DIN Next LT" w:cs="DIN Next LT"/>
                <w:i/>
                <w:iCs/>
                <w:sz w:val="22"/>
                <w:szCs w:val="22"/>
              </w:rPr>
            </w:pPr>
            <w:r w:rsidRPr="005E27D5">
              <w:rPr>
                <w:rFonts w:ascii="DIN Next LT" w:eastAsia="DINNextLTPro-Regular" w:hAnsi="DIN Next LT" w:cs="DIN Next LT"/>
                <w:i/>
                <w:iCs/>
                <w:sz w:val="22"/>
                <w:szCs w:val="22"/>
              </w:rPr>
              <w:t>40%</w:t>
            </w:r>
          </w:p>
        </w:tc>
        <w:tc>
          <w:tcPr>
            <w:tcW w:w="740" w:type="pct"/>
            <w:tcBorders>
              <w:top w:val="single" w:sz="8" w:space="0" w:color="B8A567"/>
              <w:left w:val="nil"/>
              <w:bottom w:val="triple" w:sz="4" w:space="0" w:color="6B634B"/>
              <w:right w:val="nil"/>
            </w:tcBorders>
            <w:shd w:val="clear" w:color="auto" w:fill="F2F2F2"/>
            <w:vAlign w:val="center"/>
          </w:tcPr>
          <w:p w14:paraId="0D3C0D0E" w14:textId="5F1D298E" w:rsidR="00062AE9" w:rsidRPr="004C2BDA" w:rsidRDefault="00527D97"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5pp</w:t>
            </w:r>
          </w:p>
        </w:tc>
      </w:tr>
      <w:tr w:rsidR="00522DFC" w:rsidRPr="004C2BDA" w14:paraId="15504A14" w14:textId="77777777" w:rsidTr="008F10DC">
        <w:trPr>
          <w:trHeight w:val="136"/>
        </w:trPr>
        <w:tc>
          <w:tcPr>
            <w:tcW w:w="5000" w:type="pct"/>
            <w:gridSpan w:val="6"/>
            <w:tcBorders>
              <w:top w:val="triple" w:sz="4" w:space="0" w:color="6B634B"/>
              <w:left w:val="nil"/>
            </w:tcBorders>
            <w:vAlign w:val="center"/>
          </w:tcPr>
          <w:p w14:paraId="0E029D11" w14:textId="77777777" w:rsidR="00522DFC" w:rsidRPr="004C2BDA" w:rsidRDefault="00522DFC" w:rsidP="00522DFC">
            <w:pPr>
              <w:spacing w:after="0" w:line="240" w:lineRule="auto"/>
              <w:rPr>
                <w:rFonts w:ascii="DIN Next LT" w:eastAsia="DINNextLTPro-Regular" w:hAnsi="DIN Next LT" w:cs="DIN Next LT"/>
                <w:i/>
                <w:iCs/>
                <w:sz w:val="22"/>
                <w:szCs w:val="22"/>
              </w:rPr>
            </w:pPr>
            <w:r w:rsidRPr="004C2BDA">
              <w:rPr>
                <w:rFonts w:ascii="DIN Next LT" w:eastAsia="Times New Roman" w:hAnsi="DIN Next LT" w:cs="DIN Next LT"/>
                <w:b/>
                <w:bCs/>
                <w:color w:val="B8A567"/>
                <w:sz w:val="22"/>
                <w:szCs w:val="22"/>
              </w:rPr>
              <w:t>Production volume (</w:t>
            </w:r>
            <w:proofErr w:type="spellStart"/>
            <w:r w:rsidRPr="004C2BDA">
              <w:rPr>
                <w:rFonts w:ascii="DIN Next LT" w:eastAsia="Times New Roman" w:hAnsi="DIN Next LT" w:cs="DIN Next LT"/>
                <w:b/>
                <w:bCs/>
                <w:color w:val="B8A567"/>
                <w:sz w:val="22"/>
                <w:szCs w:val="22"/>
              </w:rPr>
              <w:t>kmt</w:t>
            </w:r>
            <w:proofErr w:type="spellEnd"/>
            <w:r w:rsidRPr="004C2BDA">
              <w:rPr>
                <w:rFonts w:ascii="DIN Next LT" w:eastAsia="Times New Roman" w:hAnsi="DIN Next LT" w:cs="DIN Next LT"/>
                <w:b/>
                <w:bCs/>
                <w:color w:val="B8A567"/>
                <w:sz w:val="22"/>
                <w:szCs w:val="22"/>
              </w:rPr>
              <w:t>)</w:t>
            </w:r>
          </w:p>
        </w:tc>
      </w:tr>
      <w:tr w:rsidR="00062AE9" w:rsidRPr="004C2BDA" w14:paraId="66B6932E" w14:textId="77777777" w:rsidTr="009D7333">
        <w:trPr>
          <w:trHeight w:val="136"/>
        </w:trPr>
        <w:tc>
          <w:tcPr>
            <w:tcW w:w="1296" w:type="pct"/>
            <w:tcBorders>
              <w:top w:val="nil"/>
              <w:left w:val="nil"/>
              <w:right w:val="nil"/>
            </w:tcBorders>
            <w:vAlign w:val="center"/>
          </w:tcPr>
          <w:p w14:paraId="44369DE2"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DAP</w:t>
            </w:r>
          </w:p>
        </w:tc>
        <w:tc>
          <w:tcPr>
            <w:tcW w:w="741" w:type="pct"/>
            <w:tcBorders>
              <w:left w:val="nil"/>
              <w:bottom w:val="single" w:sz="4" w:space="0" w:color="B8A567"/>
              <w:right w:val="single" w:sz="4" w:space="0" w:color="BFBFBF"/>
            </w:tcBorders>
            <w:shd w:val="clear" w:color="auto" w:fill="F7F3E9"/>
            <w:vAlign w:val="center"/>
          </w:tcPr>
          <w:p w14:paraId="7E53BEEA" w14:textId="7CD02597"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1,71</w:t>
            </w:r>
            <w:r w:rsidR="00C430D1">
              <w:rPr>
                <w:rFonts w:ascii="DIN Next LT" w:eastAsia="DINNextLTPro-Regular" w:hAnsi="DIN Next LT" w:cs="DIN Next LT"/>
                <w:b/>
                <w:bCs/>
                <w:sz w:val="22"/>
                <w:szCs w:val="22"/>
              </w:rPr>
              <w:t>3</w:t>
            </w:r>
          </w:p>
        </w:tc>
        <w:tc>
          <w:tcPr>
            <w:tcW w:w="741" w:type="pct"/>
            <w:tcBorders>
              <w:left w:val="nil"/>
              <w:bottom w:val="single" w:sz="4" w:space="0" w:color="B8A567"/>
              <w:right w:val="single" w:sz="4" w:space="0" w:color="BFBFBF"/>
            </w:tcBorders>
            <w:vAlign w:val="center"/>
          </w:tcPr>
          <w:p w14:paraId="6DD012B6" w14:textId="76BA5EB3"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1,573</w:t>
            </w:r>
          </w:p>
        </w:tc>
        <w:tc>
          <w:tcPr>
            <w:tcW w:w="741" w:type="pct"/>
            <w:tcBorders>
              <w:left w:val="nil"/>
              <w:bottom w:val="single" w:sz="4" w:space="0" w:color="B8A567"/>
              <w:right w:val="single" w:sz="18" w:space="0" w:color="343631"/>
            </w:tcBorders>
            <w:shd w:val="clear" w:color="auto" w:fill="F2F2F2"/>
            <w:vAlign w:val="center"/>
          </w:tcPr>
          <w:p w14:paraId="626ACC1F" w14:textId="583F1F78"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9%</w:t>
            </w:r>
          </w:p>
        </w:tc>
        <w:tc>
          <w:tcPr>
            <w:tcW w:w="741" w:type="pct"/>
            <w:tcBorders>
              <w:left w:val="single" w:sz="18" w:space="0" w:color="343631"/>
              <w:bottom w:val="single" w:sz="4" w:space="0" w:color="B8A567"/>
              <w:right w:val="single" w:sz="4" w:space="0" w:color="A6A6A6"/>
            </w:tcBorders>
            <w:shd w:val="clear" w:color="auto" w:fill="F7F3E9"/>
            <w:vAlign w:val="center"/>
          </w:tcPr>
          <w:p w14:paraId="5F485D40" w14:textId="0716D8E0" w:rsidR="00062AE9" w:rsidRPr="005E27D5" w:rsidRDefault="00062AE9" w:rsidP="004D0A7D">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1,754</w:t>
            </w:r>
          </w:p>
        </w:tc>
        <w:tc>
          <w:tcPr>
            <w:tcW w:w="740" w:type="pct"/>
            <w:tcBorders>
              <w:left w:val="nil"/>
              <w:bottom w:val="single" w:sz="4" w:space="0" w:color="B8A567"/>
              <w:right w:val="nil"/>
            </w:tcBorders>
            <w:shd w:val="clear" w:color="auto" w:fill="F2F2F2"/>
            <w:vAlign w:val="center"/>
          </w:tcPr>
          <w:p w14:paraId="762E3BBC" w14:textId="08A72420"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2</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1FEFC3E3" w14:textId="77777777" w:rsidTr="009D7333">
        <w:trPr>
          <w:trHeight w:val="136"/>
        </w:trPr>
        <w:tc>
          <w:tcPr>
            <w:tcW w:w="1296" w:type="pct"/>
            <w:tcBorders>
              <w:top w:val="nil"/>
              <w:left w:val="nil"/>
              <w:bottom w:val="triple" w:sz="4" w:space="0" w:color="6B634B"/>
              <w:right w:val="nil"/>
            </w:tcBorders>
            <w:vAlign w:val="center"/>
          </w:tcPr>
          <w:p w14:paraId="05393D88"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Ammonia</w:t>
            </w:r>
          </w:p>
        </w:tc>
        <w:tc>
          <w:tcPr>
            <w:tcW w:w="741" w:type="pct"/>
            <w:tcBorders>
              <w:top w:val="single" w:sz="4" w:space="0" w:color="B8A567"/>
              <w:left w:val="nil"/>
              <w:bottom w:val="triple" w:sz="4" w:space="0" w:color="6B634B"/>
              <w:right w:val="single" w:sz="4" w:space="0" w:color="BFBFBF"/>
            </w:tcBorders>
            <w:shd w:val="clear" w:color="auto" w:fill="F7F3E9"/>
            <w:vAlign w:val="center"/>
          </w:tcPr>
          <w:p w14:paraId="7FFA3A82" w14:textId="1CD8D484"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675</w:t>
            </w:r>
          </w:p>
        </w:tc>
        <w:tc>
          <w:tcPr>
            <w:tcW w:w="741" w:type="pct"/>
            <w:tcBorders>
              <w:top w:val="single" w:sz="4" w:space="0" w:color="B8A567"/>
              <w:left w:val="nil"/>
              <w:bottom w:val="triple" w:sz="4" w:space="0" w:color="6B634B"/>
              <w:right w:val="single" w:sz="4" w:space="0" w:color="BFBFBF"/>
            </w:tcBorders>
            <w:vAlign w:val="center"/>
          </w:tcPr>
          <w:p w14:paraId="3DA37E98" w14:textId="0E7E5BF5"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906</w:t>
            </w:r>
          </w:p>
        </w:tc>
        <w:tc>
          <w:tcPr>
            <w:tcW w:w="741" w:type="pct"/>
            <w:tcBorders>
              <w:top w:val="single" w:sz="4" w:space="0" w:color="B8A567"/>
              <w:left w:val="nil"/>
              <w:bottom w:val="triple" w:sz="4" w:space="0" w:color="6B634B"/>
              <w:right w:val="single" w:sz="18" w:space="0" w:color="343631"/>
            </w:tcBorders>
            <w:shd w:val="clear" w:color="auto" w:fill="F2F2F2"/>
            <w:vAlign w:val="center"/>
          </w:tcPr>
          <w:p w14:paraId="443C6050" w14:textId="0F2197D3"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25</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c>
          <w:tcPr>
            <w:tcW w:w="741" w:type="pct"/>
            <w:tcBorders>
              <w:top w:val="single" w:sz="4" w:space="0" w:color="B8A567"/>
              <w:left w:val="single" w:sz="18" w:space="0" w:color="343631"/>
              <w:bottom w:val="triple" w:sz="4" w:space="0" w:color="6B634B"/>
              <w:right w:val="single" w:sz="4" w:space="0" w:color="A6A6A6"/>
            </w:tcBorders>
            <w:shd w:val="clear" w:color="auto" w:fill="F7F3E9"/>
            <w:vAlign w:val="center"/>
          </w:tcPr>
          <w:p w14:paraId="6BC7507D" w14:textId="170204CC" w:rsidR="00062AE9" w:rsidRPr="005E27D5" w:rsidRDefault="00062AE9" w:rsidP="004D0A7D">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608</w:t>
            </w:r>
          </w:p>
        </w:tc>
        <w:tc>
          <w:tcPr>
            <w:tcW w:w="740" w:type="pct"/>
            <w:tcBorders>
              <w:top w:val="single" w:sz="4" w:space="0" w:color="B8A567"/>
              <w:left w:val="nil"/>
              <w:bottom w:val="triple" w:sz="4" w:space="0" w:color="6B634B"/>
              <w:right w:val="nil"/>
            </w:tcBorders>
            <w:shd w:val="clear" w:color="auto" w:fill="F2F2F2"/>
            <w:vAlign w:val="center"/>
          </w:tcPr>
          <w:p w14:paraId="5867C4A5" w14:textId="16CA35F9"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11%</w:t>
            </w:r>
          </w:p>
        </w:tc>
      </w:tr>
      <w:tr w:rsidR="00522DFC" w:rsidRPr="004C2BDA" w14:paraId="3EBD533D" w14:textId="77777777" w:rsidTr="008F10DC">
        <w:trPr>
          <w:trHeight w:val="136"/>
        </w:trPr>
        <w:tc>
          <w:tcPr>
            <w:tcW w:w="5000" w:type="pct"/>
            <w:gridSpan w:val="6"/>
            <w:tcBorders>
              <w:top w:val="triple" w:sz="4" w:space="0" w:color="6B634B"/>
              <w:left w:val="nil"/>
            </w:tcBorders>
            <w:vAlign w:val="center"/>
          </w:tcPr>
          <w:p w14:paraId="7BEFEF54" w14:textId="77777777" w:rsidR="00522DFC" w:rsidRPr="004C2BDA" w:rsidRDefault="00522DFC" w:rsidP="00522DFC">
            <w:pPr>
              <w:spacing w:after="0" w:line="240" w:lineRule="auto"/>
              <w:rPr>
                <w:rFonts w:ascii="DIN Next LT" w:eastAsia="DINNextLTPro-Regular" w:hAnsi="DIN Next LT" w:cs="DIN Next LT"/>
                <w:b/>
                <w:bCs/>
                <w:sz w:val="22"/>
                <w:szCs w:val="22"/>
              </w:rPr>
            </w:pPr>
            <w:r w:rsidRPr="004C2BDA">
              <w:rPr>
                <w:rFonts w:ascii="DIN Next LT" w:eastAsia="Times New Roman" w:hAnsi="DIN Next LT" w:cs="DIN Next LT"/>
                <w:b/>
                <w:bCs/>
                <w:color w:val="B8A567"/>
                <w:sz w:val="22"/>
                <w:szCs w:val="22"/>
              </w:rPr>
              <w:t>Avg. realized prices ($/mt)</w:t>
            </w:r>
          </w:p>
        </w:tc>
      </w:tr>
      <w:tr w:rsidR="00062AE9" w:rsidRPr="004C2BDA" w14:paraId="742969A3" w14:textId="77777777" w:rsidTr="009D7333">
        <w:trPr>
          <w:trHeight w:val="144"/>
        </w:trPr>
        <w:tc>
          <w:tcPr>
            <w:tcW w:w="1296" w:type="pct"/>
            <w:tcBorders>
              <w:top w:val="nil"/>
              <w:left w:val="nil"/>
              <w:right w:val="nil"/>
            </w:tcBorders>
            <w:vAlign w:val="center"/>
          </w:tcPr>
          <w:p w14:paraId="002F3064"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DAP</w:t>
            </w:r>
          </w:p>
        </w:tc>
        <w:tc>
          <w:tcPr>
            <w:tcW w:w="741" w:type="pct"/>
            <w:tcBorders>
              <w:left w:val="nil"/>
              <w:bottom w:val="single" w:sz="4" w:space="0" w:color="B8A567"/>
              <w:right w:val="single" w:sz="4" w:space="0" w:color="BFBFBF"/>
            </w:tcBorders>
            <w:shd w:val="clear" w:color="auto" w:fill="F7F3E9"/>
            <w:vAlign w:val="center"/>
          </w:tcPr>
          <w:p w14:paraId="2D602F04" w14:textId="26DDD6C9" w:rsidR="00062AE9" w:rsidRPr="004C2BDA" w:rsidRDefault="00CE6EA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666</w:t>
            </w:r>
          </w:p>
        </w:tc>
        <w:tc>
          <w:tcPr>
            <w:tcW w:w="741" w:type="pct"/>
            <w:tcBorders>
              <w:left w:val="nil"/>
              <w:bottom w:val="single" w:sz="4" w:space="0" w:color="B8A567"/>
              <w:right w:val="single" w:sz="4" w:space="0" w:color="BFBFBF"/>
            </w:tcBorders>
            <w:vAlign w:val="center"/>
          </w:tcPr>
          <w:p w14:paraId="5DF87941" w14:textId="0E553576"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613</w:t>
            </w:r>
          </w:p>
        </w:tc>
        <w:tc>
          <w:tcPr>
            <w:tcW w:w="741" w:type="pct"/>
            <w:tcBorders>
              <w:left w:val="nil"/>
              <w:bottom w:val="single" w:sz="4" w:space="0" w:color="B8A567"/>
              <w:right w:val="single" w:sz="18" w:space="0" w:color="343631"/>
            </w:tcBorders>
            <w:shd w:val="clear" w:color="auto" w:fill="F2F2F2"/>
            <w:vAlign w:val="center"/>
          </w:tcPr>
          <w:p w14:paraId="2050A1CF" w14:textId="66854D66" w:rsidR="00062AE9" w:rsidRPr="004C2BDA" w:rsidRDefault="00CE6EA9" w:rsidP="00522DFC">
            <w:pPr>
              <w:spacing w:after="0" w:line="240" w:lineRule="auto"/>
              <w:jc w:val="right"/>
              <w:rPr>
                <w:rFonts w:ascii="DIN Next LT" w:eastAsia="DINNextLTPro-Regular" w:hAnsi="DIN Next LT" w:cs="DIN Next LT"/>
                <w:i/>
                <w:iCs/>
                <w:color w:val="000000" w:themeColor="text1"/>
                <w:sz w:val="22"/>
                <w:szCs w:val="22"/>
              </w:rPr>
            </w:pPr>
            <w:r>
              <w:rPr>
                <w:rFonts w:ascii="DIN Next LT" w:eastAsia="DINNextLTPro-Regular" w:hAnsi="DIN Next LT" w:cs="DIN Next LT"/>
                <w:i/>
                <w:iCs/>
                <w:color w:val="000000" w:themeColor="text1"/>
                <w:sz w:val="22"/>
                <w:szCs w:val="22"/>
              </w:rPr>
              <w:t>9%</w:t>
            </w:r>
          </w:p>
        </w:tc>
        <w:tc>
          <w:tcPr>
            <w:tcW w:w="741" w:type="pct"/>
            <w:tcBorders>
              <w:left w:val="single" w:sz="18" w:space="0" w:color="343631"/>
              <w:bottom w:val="single" w:sz="4" w:space="0" w:color="B8A567"/>
              <w:right w:val="single" w:sz="4" w:space="0" w:color="A6A6A6"/>
            </w:tcBorders>
            <w:shd w:val="clear" w:color="auto" w:fill="F7F3E9"/>
            <w:vAlign w:val="center"/>
          </w:tcPr>
          <w:p w14:paraId="7FB45ACA" w14:textId="3E7C3AB0" w:rsidR="00062AE9" w:rsidRPr="005E27D5" w:rsidRDefault="00062AE9" w:rsidP="00522DF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705</w:t>
            </w:r>
          </w:p>
        </w:tc>
        <w:tc>
          <w:tcPr>
            <w:tcW w:w="740" w:type="pct"/>
            <w:tcBorders>
              <w:left w:val="nil"/>
              <w:bottom w:val="single" w:sz="4" w:space="0" w:color="B8A567"/>
              <w:right w:val="nil"/>
            </w:tcBorders>
            <w:shd w:val="clear" w:color="auto" w:fill="F2F2F2"/>
            <w:vAlign w:val="center"/>
          </w:tcPr>
          <w:p w14:paraId="450BE3A7" w14:textId="22F727E2"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744F4C">
              <w:rPr>
                <w:rFonts w:ascii="DIN Next LT" w:eastAsia="DINNextLTPro-Regular" w:hAnsi="DIN Next LT" w:cs="DIN Next LT"/>
                <w:i/>
                <w:iCs/>
                <w:sz w:val="22"/>
                <w:szCs w:val="22"/>
              </w:rPr>
              <w:t>5</w:t>
            </w:r>
            <w:r>
              <w:rPr>
                <w:rFonts w:ascii="DIN Next LT" w:eastAsia="DINNextLTPro-Regular" w:hAnsi="DIN Next LT" w:cs="DIN Next LT"/>
                <w:i/>
                <w:iCs/>
                <w:sz w:val="22"/>
                <w:szCs w:val="22"/>
              </w:rPr>
              <w:t>)</w:t>
            </w:r>
            <w:r w:rsidR="00744F4C">
              <w:rPr>
                <w:rFonts w:ascii="DIN Next LT" w:eastAsia="DINNextLTPro-Regular" w:hAnsi="DIN Next LT" w:cs="DIN Next LT"/>
                <w:i/>
                <w:iCs/>
                <w:sz w:val="22"/>
                <w:szCs w:val="22"/>
              </w:rPr>
              <w:t>%</w:t>
            </w:r>
            <w:proofErr w:type="gramEnd"/>
          </w:p>
        </w:tc>
      </w:tr>
      <w:tr w:rsidR="00062AE9" w:rsidRPr="004C2BDA" w14:paraId="5849FB29" w14:textId="77777777" w:rsidTr="009D7333">
        <w:trPr>
          <w:trHeight w:val="144"/>
        </w:trPr>
        <w:tc>
          <w:tcPr>
            <w:tcW w:w="1296" w:type="pct"/>
            <w:tcBorders>
              <w:top w:val="nil"/>
              <w:left w:val="nil"/>
              <w:bottom w:val="triple" w:sz="4" w:space="0" w:color="6B634B"/>
              <w:right w:val="nil"/>
            </w:tcBorders>
            <w:vAlign w:val="center"/>
          </w:tcPr>
          <w:p w14:paraId="73C68899"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Ammonia</w:t>
            </w:r>
          </w:p>
        </w:tc>
        <w:tc>
          <w:tcPr>
            <w:tcW w:w="741" w:type="pct"/>
            <w:tcBorders>
              <w:top w:val="single" w:sz="4" w:space="0" w:color="B8A567"/>
              <w:left w:val="nil"/>
              <w:bottom w:val="triple" w:sz="4" w:space="0" w:color="6B634B"/>
              <w:right w:val="single" w:sz="4" w:space="0" w:color="BFBFBF"/>
            </w:tcBorders>
            <w:shd w:val="clear" w:color="auto" w:fill="F7F3E9"/>
            <w:vAlign w:val="center"/>
          </w:tcPr>
          <w:p w14:paraId="2273557D" w14:textId="50A3412A" w:rsidR="00062AE9" w:rsidRPr="004C2BDA" w:rsidRDefault="00744F4C"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529</w:t>
            </w:r>
          </w:p>
        </w:tc>
        <w:tc>
          <w:tcPr>
            <w:tcW w:w="741" w:type="pct"/>
            <w:tcBorders>
              <w:top w:val="single" w:sz="4" w:space="0" w:color="B8A567"/>
              <w:left w:val="nil"/>
              <w:bottom w:val="triple" w:sz="4" w:space="0" w:color="6B634B"/>
              <w:right w:val="single" w:sz="4" w:space="0" w:color="BFBFBF"/>
            </w:tcBorders>
            <w:vAlign w:val="center"/>
          </w:tcPr>
          <w:p w14:paraId="3DA35249" w14:textId="14E8FB78"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357</w:t>
            </w:r>
          </w:p>
        </w:tc>
        <w:tc>
          <w:tcPr>
            <w:tcW w:w="741" w:type="pct"/>
            <w:tcBorders>
              <w:top w:val="single" w:sz="4" w:space="0" w:color="B8A567"/>
              <w:left w:val="nil"/>
              <w:bottom w:val="triple" w:sz="4" w:space="0" w:color="6B634B"/>
              <w:right w:val="single" w:sz="18" w:space="0" w:color="343631"/>
            </w:tcBorders>
            <w:shd w:val="clear" w:color="auto" w:fill="F2F2F2"/>
            <w:vAlign w:val="center"/>
          </w:tcPr>
          <w:p w14:paraId="3D988500" w14:textId="7EC1DD2B" w:rsidR="00062AE9" w:rsidRPr="004C2BDA" w:rsidRDefault="00744F4C" w:rsidP="00522DFC">
            <w:pPr>
              <w:spacing w:after="0" w:line="240" w:lineRule="auto"/>
              <w:jc w:val="right"/>
              <w:rPr>
                <w:rFonts w:ascii="DIN Next LT" w:eastAsia="DINNextLTPro-Regular" w:hAnsi="DIN Next LT" w:cs="DIN Next LT"/>
                <w:i/>
                <w:iCs/>
                <w:color w:val="FFFF00"/>
                <w:sz w:val="22"/>
                <w:szCs w:val="22"/>
              </w:rPr>
            </w:pPr>
            <w:r w:rsidRPr="009D7333">
              <w:rPr>
                <w:rFonts w:ascii="DIN Next LT" w:eastAsia="DINNextLTPro-Regular" w:hAnsi="DIN Next LT" w:cs="DIN Next LT"/>
                <w:i/>
                <w:iCs/>
                <w:sz w:val="22"/>
                <w:szCs w:val="22"/>
              </w:rPr>
              <w:t>48%</w:t>
            </w:r>
          </w:p>
        </w:tc>
        <w:tc>
          <w:tcPr>
            <w:tcW w:w="741" w:type="pct"/>
            <w:tcBorders>
              <w:top w:val="single" w:sz="4" w:space="0" w:color="B8A567"/>
              <w:left w:val="single" w:sz="18" w:space="0" w:color="343631"/>
              <w:bottom w:val="triple" w:sz="4" w:space="0" w:color="6B634B"/>
              <w:right w:val="single" w:sz="4" w:space="0" w:color="A6A6A6"/>
            </w:tcBorders>
            <w:shd w:val="clear" w:color="auto" w:fill="F7F3E9"/>
            <w:vAlign w:val="center"/>
          </w:tcPr>
          <w:p w14:paraId="066A2987" w14:textId="53CF2A69" w:rsidR="00062AE9" w:rsidRPr="005E27D5" w:rsidRDefault="00062AE9" w:rsidP="00522DF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454</w:t>
            </w:r>
          </w:p>
        </w:tc>
        <w:tc>
          <w:tcPr>
            <w:tcW w:w="740" w:type="pct"/>
            <w:tcBorders>
              <w:top w:val="single" w:sz="4" w:space="0" w:color="B8A567"/>
              <w:left w:val="nil"/>
              <w:bottom w:val="triple" w:sz="4" w:space="0" w:color="6B634B"/>
              <w:right w:val="nil"/>
            </w:tcBorders>
            <w:shd w:val="clear" w:color="auto" w:fill="F2F2F2"/>
            <w:vAlign w:val="center"/>
          </w:tcPr>
          <w:p w14:paraId="31C7C7D5" w14:textId="6E4EB32E" w:rsidR="00062AE9" w:rsidRPr="004C2BDA" w:rsidRDefault="00B80D30"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17%</w:t>
            </w:r>
          </w:p>
        </w:tc>
      </w:tr>
    </w:tbl>
    <w:p w14:paraId="29354A5C" w14:textId="77777777" w:rsidR="00DF75D6" w:rsidRPr="004C2BDA" w:rsidRDefault="00DF75D6" w:rsidP="00DF75D6">
      <w:pPr>
        <w:spacing w:after="0" w:line="240" w:lineRule="auto"/>
        <w:jc w:val="both"/>
        <w:rPr>
          <w:rFonts w:ascii="DIN Next LT" w:hAnsi="DIN Next LT" w:cs="DIN Next LT"/>
          <w:sz w:val="22"/>
          <w:szCs w:val="22"/>
        </w:rPr>
      </w:pPr>
    </w:p>
    <w:p w14:paraId="7C726590" w14:textId="77777777" w:rsidR="00DF75D6" w:rsidRPr="004C2BDA" w:rsidRDefault="00DF75D6" w:rsidP="00DF75D6">
      <w:pPr>
        <w:spacing w:line="240" w:lineRule="auto"/>
        <w:rPr>
          <w:rFonts w:ascii="DIN Next LT" w:hAnsi="DIN Next LT" w:cs="DIN Next LT"/>
          <w:b/>
          <w:bCs/>
          <w:sz w:val="22"/>
          <w:szCs w:val="22"/>
        </w:rPr>
      </w:pPr>
      <w:r w:rsidRPr="004C2BDA">
        <w:rPr>
          <w:rFonts w:ascii="DIN Next LT" w:hAnsi="DIN Next LT" w:cs="DIN Next LT"/>
          <w:b/>
          <w:bCs/>
          <w:sz w:val="22"/>
          <w:szCs w:val="22"/>
        </w:rPr>
        <w:t>ALUMINUM</w:t>
      </w:r>
    </w:p>
    <w:tbl>
      <w:tblPr>
        <w:tblW w:w="5149" w:type="pct"/>
        <w:tblLayout w:type="fixed"/>
        <w:tblLook w:val="04A0" w:firstRow="1" w:lastRow="0" w:firstColumn="1" w:lastColumn="0" w:noHBand="0" w:noVBand="1"/>
      </w:tblPr>
      <w:tblGrid>
        <w:gridCol w:w="2498"/>
        <w:gridCol w:w="1429"/>
        <w:gridCol w:w="1428"/>
        <w:gridCol w:w="1428"/>
        <w:gridCol w:w="1428"/>
        <w:gridCol w:w="1428"/>
      </w:tblGrid>
      <w:tr w:rsidR="00062AE9" w:rsidRPr="004C2BDA" w14:paraId="7D61273B" w14:textId="77777777" w:rsidTr="009D7333">
        <w:trPr>
          <w:trHeight w:val="136"/>
        </w:trPr>
        <w:tc>
          <w:tcPr>
            <w:tcW w:w="1295" w:type="pct"/>
            <w:tcBorders>
              <w:top w:val="nil"/>
              <w:left w:val="nil"/>
              <w:right w:val="nil"/>
            </w:tcBorders>
            <w:vAlign w:val="center"/>
          </w:tcPr>
          <w:p w14:paraId="4BAF43B7" w14:textId="77777777" w:rsidR="00062AE9" w:rsidRPr="004C2BDA" w:rsidRDefault="00062AE9" w:rsidP="005E27D5">
            <w:pPr>
              <w:spacing w:after="0" w:line="240" w:lineRule="auto"/>
              <w:rPr>
                <w:rFonts w:ascii="DIN Next LT" w:eastAsia="DINNextLTPro-Regular" w:hAnsi="DIN Next LT" w:cs="DIN Next LT"/>
                <w:b/>
                <w:bCs/>
                <w:sz w:val="22"/>
                <w:szCs w:val="22"/>
              </w:rPr>
            </w:pPr>
            <w:r w:rsidRPr="00300895">
              <w:rPr>
                <w:rFonts w:ascii="DIN Next LT" w:eastAsia="Times New Roman" w:hAnsi="DIN Next LT" w:cs="DIN Next LT"/>
                <w:b/>
                <w:bCs/>
                <w:color w:val="B8A567"/>
                <w:sz w:val="22"/>
                <w:szCs w:val="22"/>
              </w:rPr>
              <w:t>$</w:t>
            </w:r>
            <w:r w:rsidRPr="004C2BDA">
              <w:rPr>
                <w:rFonts w:ascii="DIN Next LT" w:eastAsia="Times New Roman" w:hAnsi="DIN Next LT" w:cs="DIN Next LT"/>
                <w:b/>
                <w:bCs/>
                <w:color w:val="B8A567"/>
                <w:sz w:val="22"/>
                <w:szCs w:val="22"/>
              </w:rPr>
              <w:t xml:space="preserve"> (million)</w:t>
            </w:r>
          </w:p>
        </w:tc>
        <w:tc>
          <w:tcPr>
            <w:tcW w:w="741" w:type="pct"/>
            <w:tcBorders>
              <w:top w:val="nil"/>
              <w:left w:val="nil"/>
              <w:bottom w:val="single" w:sz="8" w:space="0" w:color="343631"/>
              <w:right w:val="single" w:sz="4" w:space="0" w:color="BFBFBF"/>
            </w:tcBorders>
            <w:shd w:val="clear" w:color="auto" w:fill="F7F3E9"/>
            <w:vAlign w:val="center"/>
          </w:tcPr>
          <w:p w14:paraId="1DC5ADCE" w14:textId="5E368492" w:rsidR="00062AE9" w:rsidRPr="004C2BDA" w:rsidRDefault="00062AE9" w:rsidP="005E27D5">
            <w:pPr>
              <w:spacing w:after="0" w:line="240" w:lineRule="auto"/>
              <w:jc w:val="center"/>
              <w:rPr>
                <w:rFonts w:ascii="DIN Next LT" w:eastAsia="Times New Roman" w:hAnsi="DIN Next LT" w:cs="DIN Next LT"/>
                <w:b/>
                <w:bCs/>
                <w:color w:val="017C40"/>
                <w:sz w:val="22"/>
                <w:szCs w:val="22"/>
              </w:rPr>
            </w:pPr>
            <w:r w:rsidRPr="00BA56D3">
              <w:rPr>
                <w:rFonts w:ascii="DIN Next LT" w:eastAsia="Times New Roman" w:hAnsi="DIN Next LT" w:cs="DIN Next LT"/>
                <w:b/>
                <w:bCs/>
                <w:color w:val="B8A567"/>
                <w:sz w:val="22"/>
                <w:szCs w:val="22"/>
              </w:rPr>
              <w:t>Q</w:t>
            </w:r>
            <w:r>
              <w:rPr>
                <w:rFonts w:ascii="DIN Next LT" w:eastAsia="Times New Roman" w:hAnsi="DIN Next LT" w:cs="DIN Next LT"/>
                <w:b/>
                <w:bCs/>
                <w:color w:val="B8A567"/>
                <w:sz w:val="22"/>
                <w:szCs w:val="22"/>
              </w:rPr>
              <w:t>1</w:t>
            </w:r>
            <w:r w:rsidRPr="00BA56D3">
              <w:rPr>
                <w:rFonts w:ascii="DIN Next LT" w:eastAsia="Times New Roman" w:hAnsi="DIN Next LT" w:cs="DIN Next LT"/>
                <w:b/>
                <w:bCs/>
                <w:color w:val="B8A567"/>
                <w:sz w:val="22"/>
                <w:szCs w:val="22"/>
              </w:rPr>
              <w:t>-FY2</w:t>
            </w:r>
            <w:r>
              <w:rPr>
                <w:rFonts w:ascii="DIN Next LT" w:eastAsia="Times New Roman" w:hAnsi="DIN Next LT" w:cs="DIN Next LT"/>
                <w:b/>
                <w:bCs/>
                <w:color w:val="B8A567"/>
                <w:sz w:val="22"/>
                <w:szCs w:val="22"/>
              </w:rPr>
              <w:t>6</w:t>
            </w:r>
          </w:p>
        </w:tc>
        <w:tc>
          <w:tcPr>
            <w:tcW w:w="741" w:type="pct"/>
            <w:tcBorders>
              <w:top w:val="nil"/>
              <w:left w:val="nil"/>
              <w:bottom w:val="single" w:sz="8" w:space="0" w:color="343631"/>
              <w:right w:val="single" w:sz="4" w:space="0" w:color="BFBFBF"/>
            </w:tcBorders>
            <w:vAlign w:val="center"/>
          </w:tcPr>
          <w:p w14:paraId="43A98802" w14:textId="538155B6" w:rsidR="00062AE9" w:rsidRPr="004C2BDA" w:rsidRDefault="00062AE9" w:rsidP="005E27D5">
            <w:pPr>
              <w:spacing w:after="0" w:line="240" w:lineRule="auto"/>
              <w:jc w:val="center"/>
              <w:rPr>
                <w:rFonts w:ascii="DIN Next LT" w:eastAsia="Times New Roman" w:hAnsi="DIN Next LT" w:cs="DIN Next LT"/>
                <w:color w:val="B8A567"/>
                <w:sz w:val="22"/>
                <w:szCs w:val="22"/>
              </w:rPr>
            </w:pPr>
            <w:r w:rsidRPr="00BA56D3">
              <w:rPr>
                <w:rFonts w:ascii="DIN Next LT" w:eastAsia="Times New Roman" w:hAnsi="DIN Next LT" w:cs="DIN Next LT"/>
                <w:color w:val="B8A567"/>
                <w:sz w:val="22"/>
                <w:szCs w:val="22"/>
              </w:rPr>
              <w:t>Q</w:t>
            </w:r>
            <w:r>
              <w:rPr>
                <w:rFonts w:ascii="DIN Next LT" w:eastAsia="Times New Roman" w:hAnsi="DIN Next LT" w:cs="DIN Next LT"/>
                <w:color w:val="B8A567"/>
                <w:sz w:val="22"/>
                <w:szCs w:val="22"/>
              </w:rPr>
              <w:t>1</w:t>
            </w:r>
            <w:r w:rsidRPr="00BA56D3">
              <w:rPr>
                <w:rFonts w:ascii="DIN Next LT" w:eastAsia="Times New Roman" w:hAnsi="DIN Next LT" w:cs="DIN Next LT"/>
                <w:color w:val="B8A567"/>
                <w:sz w:val="22"/>
                <w:szCs w:val="22"/>
              </w:rPr>
              <w:t>-FY2</w:t>
            </w:r>
            <w:r>
              <w:rPr>
                <w:rFonts w:ascii="DIN Next LT" w:eastAsia="Times New Roman" w:hAnsi="DIN Next LT" w:cs="DIN Next LT"/>
                <w:color w:val="B8A567"/>
                <w:sz w:val="22"/>
                <w:szCs w:val="22"/>
              </w:rPr>
              <w:t>5</w:t>
            </w:r>
          </w:p>
        </w:tc>
        <w:tc>
          <w:tcPr>
            <w:tcW w:w="741" w:type="pct"/>
            <w:tcBorders>
              <w:top w:val="nil"/>
              <w:left w:val="nil"/>
              <w:bottom w:val="single" w:sz="8" w:space="0" w:color="343631"/>
              <w:right w:val="single" w:sz="18" w:space="0" w:color="343631"/>
            </w:tcBorders>
            <w:shd w:val="clear" w:color="auto" w:fill="F2F2F2"/>
            <w:vAlign w:val="center"/>
          </w:tcPr>
          <w:p w14:paraId="59D39C34" w14:textId="6449CD12" w:rsidR="00062AE9" w:rsidRPr="004C2BDA" w:rsidRDefault="00062AE9" w:rsidP="005E27D5">
            <w:pPr>
              <w:spacing w:after="0" w:line="240" w:lineRule="auto"/>
              <w:jc w:val="center"/>
              <w:rPr>
                <w:rFonts w:ascii="DIN Next LT" w:eastAsia="Times New Roman" w:hAnsi="DIN Next LT" w:cs="DIN Next LT"/>
                <w:i/>
                <w:iCs/>
                <w:color w:val="B8A567"/>
                <w:sz w:val="22"/>
                <w:szCs w:val="22"/>
              </w:rPr>
            </w:pPr>
            <w:r w:rsidRPr="00BA56D3">
              <w:rPr>
                <w:rFonts w:ascii="DIN Next LT" w:eastAsia="Times New Roman" w:hAnsi="DIN Next LT" w:cs="DIN Next LT"/>
                <w:i/>
                <w:iCs/>
                <w:color w:val="B8A567"/>
                <w:sz w:val="22"/>
                <w:szCs w:val="22"/>
              </w:rPr>
              <w:t>Variance</w:t>
            </w:r>
          </w:p>
        </w:tc>
        <w:tc>
          <w:tcPr>
            <w:tcW w:w="741" w:type="pct"/>
            <w:tcBorders>
              <w:top w:val="nil"/>
              <w:left w:val="single" w:sz="18" w:space="0" w:color="343631"/>
              <w:bottom w:val="single" w:sz="8" w:space="0" w:color="343631"/>
              <w:right w:val="single" w:sz="4" w:space="0" w:color="A6A6A6"/>
            </w:tcBorders>
            <w:shd w:val="clear" w:color="auto" w:fill="F7F3E9"/>
            <w:vAlign w:val="center"/>
          </w:tcPr>
          <w:p w14:paraId="266ED1D3" w14:textId="3E476945" w:rsidR="00062AE9" w:rsidRPr="004C2BDA" w:rsidRDefault="00062AE9" w:rsidP="0072131C">
            <w:pPr>
              <w:spacing w:after="0" w:line="240" w:lineRule="auto"/>
              <w:jc w:val="center"/>
              <w:rPr>
                <w:rFonts w:ascii="DIN Next LT" w:eastAsia="Times New Roman" w:hAnsi="DIN Next LT" w:cs="DIN Next LT"/>
                <w:color w:val="B8A567"/>
                <w:sz w:val="22"/>
                <w:szCs w:val="22"/>
              </w:rPr>
            </w:pPr>
            <w:r>
              <w:rPr>
                <w:rFonts w:ascii="DIN Next LT" w:eastAsia="Times New Roman" w:hAnsi="DIN Next LT" w:cs="DIN Next LT"/>
                <w:color w:val="B8A567"/>
                <w:sz w:val="22"/>
                <w:szCs w:val="22"/>
              </w:rPr>
              <w:t>Q4-</w:t>
            </w:r>
            <w:r w:rsidRPr="00BA56D3">
              <w:rPr>
                <w:rFonts w:ascii="DIN Next LT" w:eastAsia="Times New Roman" w:hAnsi="DIN Next LT" w:cs="DIN Next LT"/>
                <w:color w:val="B8A567"/>
                <w:sz w:val="22"/>
                <w:szCs w:val="22"/>
              </w:rPr>
              <w:t>FY</w:t>
            </w:r>
            <w:r>
              <w:rPr>
                <w:rFonts w:ascii="DIN Next LT" w:eastAsia="Times New Roman" w:hAnsi="DIN Next LT" w:cs="DIN Next LT"/>
                <w:color w:val="B8A567"/>
                <w:sz w:val="22"/>
                <w:szCs w:val="22"/>
              </w:rPr>
              <w:t>25</w:t>
            </w:r>
          </w:p>
        </w:tc>
        <w:tc>
          <w:tcPr>
            <w:tcW w:w="741" w:type="pct"/>
            <w:tcBorders>
              <w:top w:val="nil"/>
              <w:left w:val="nil"/>
              <w:bottom w:val="single" w:sz="8" w:space="0" w:color="343631"/>
              <w:right w:val="nil"/>
            </w:tcBorders>
            <w:shd w:val="clear" w:color="auto" w:fill="F2F2F2"/>
            <w:vAlign w:val="center"/>
          </w:tcPr>
          <w:p w14:paraId="04745157" w14:textId="5B6FEF6A" w:rsidR="00062AE9" w:rsidRPr="004C2BDA" w:rsidRDefault="00062AE9" w:rsidP="005E27D5">
            <w:pPr>
              <w:spacing w:after="0" w:line="240" w:lineRule="auto"/>
              <w:jc w:val="center"/>
              <w:rPr>
                <w:rFonts w:ascii="DIN Next LT" w:eastAsia="Times New Roman" w:hAnsi="DIN Next LT" w:cs="DIN Next LT"/>
                <w:i/>
                <w:iCs/>
                <w:color w:val="B8A567"/>
                <w:sz w:val="22"/>
                <w:szCs w:val="22"/>
              </w:rPr>
            </w:pPr>
            <w:r w:rsidRPr="00BA56D3">
              <w:rPr>
                <w:rFonts w:ascii="DIN Next LT" w:eastAsia="Times New Roman" w:hAnsi="DIN Next LT" w:cs="DIN Next LT"/>
                <w:i/>
                <w:iCs/>
                <w:color w:val="B8A567"/>
                <w:sz w:val="22"/>
                <w:szCs w:val="22"/>
              </w:rPr>
              <w:t>Variance</w:t>
            </w:r>
          </w:p>
        </w:tc>
      </w:tr>
      <w:tr w:rsidR="00062AE9" w:rsidRPr="004C2BDA" w14:paraId="5F6F65EC" w14:textId="77777777" w:rsidTr="009D7333">
        <w:trPr>
          <w:trHeight w:val="144"/>
        </w:trPr>
        <w:tc>
          <w:tcPr>
            <w:tcW w:w="1295" w:type="pct"/>
            <w:tcBorders>
              <w:top w:val="nil"/>
              <w:left w:val="nil"/>
              <w:right w:val="nil"/>
            </w:tcBorders>
            <w:vAlign w:val="center"/>
          </w:tcPr>
          <w:p w14:paraId="132AFE38" w14:textId="570F9D2C" w:rsidR="00062AE9" w:rsidRPr="004C2BDA" w:rsidRDefault="008D2D82" w:rsidP="00522DFC">
            <w:pPr>
              <w:spacing w:after="0" w:line="240" w:lineRule="auto"/>
              <w:rPr>
                <w:rFonts w:ascii="DIN Next LT" w:eastAsia="DINNextLTPro-Regular" w:hAnsi="DIN Next LT" w:cs="DIN Next LT"/>
                <w:b/>
                <w:bCs/>
                <w:sz w:val="22"/>
                <w:szCs w:val="22"/>
              </w:rPr>
            </w:pPr>
            <w:r>
              <w:rPr>
                <w:rFonts w:ascii="DIN Next LT" w:eastAsia="DINNextLTPro-Regular" w:hAnsi="DIN Next LT" w:cs="DIN Next LT"/>
                <w:b/>
                <w:bCs/>
                <w:sz w:val="22"/>
                <w:szCs w:val="22"/>
              </w:rPr>
              <w:t>Revenue</w:t>
            </w:r>
          </w:p>
        </w:tc>
        <w:tc>
          <w:tcPr>
            <w:tcW w:w="741" w:type="pct"/>
            <w:tcBorders>
              <w:top w:val="single" w:sz="8" w:space="0" w:color="343631"/>
              <w:left w:val="nil"/>
              <w:bottom w:val="single" w:sz="8" w:space="0" w:color="B8A567"/>
              <w:right w:val="single" w:sz="4" w:space="0" w:color="BFBFBF"/>
            </w:tcBorders>
            <w:shd w:val="clear" w:color="auto" w:fill="F7F3E9"/>
            <w:vAlign w:val="center"/>
          </w:tcPr>
          <w:p w14:paraId="73676084" w14:textId="45880EF6"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739</w:t>
            </w:r>
          </w:p>
        </w:tc>
        <w:tc>
          <w:tcPr>
            <w:tcW w:w="741" w:type="pct"/>
            <w:tcBorders>
              <w:top w:val="single" w:sz="8" w:space="0" w:color="343631"/>
              <w:left w:val="nil"/>
              <w:bottom w:val="single" w:sz="8" w:space="0" w:color="B8A567"/>
              <w:right w:val="single" w:sz="4" w:space="0" w:color="BFBFBF"/>
            </w:tcBorders>
            <w:vAlign w:val="center"/>
          </w:tcPr>
          <w:p w14:paraId="5FEE8E4E" w14:textId="0D0D7E80" w:rsidR="00062AE9" w:rsidRPr="004C2BDA" w:rsidRDefault="00B80D30" w:rsidP="00522DFC">
            <w:pPr>
              <w:spacing w:after="0" w:line="240" w:lineRule="auto"/>
              <w:jc w:val="right"/>
              <w:rPr>
                <w:rFonts w:ascii="DIN Next LT" w:eastAsia="DINNextLTPro-Regular" w:hAnsi="DIN Next LT" w:cs="DIN Next LT"/>
                <w:sz w:val="22"/>
                <w:szCs w:val="22"/>
              </w:rPr>
            </w:pPr>
            <w:r>
              <w:rPr>
                <w:rFonts w:ascii="DIN Next LT" w:hAnsi="DIN Next LT" w:cs="DIN Next LT"/>
                <w:color w:val="000000"/>
                <w:sz w:val="22"/>
                <w:szCs w:val="22"/>
              </w:rPr>
              <w:t>723</w:t>
            </w:r>
          </w:p>
        </w:tc>
        <w:tc>
          <w:tcPr>
            <w:tcW w:w="741" w:type="pct"/>
            <w:tcBorders>
              <w:top w:val="single" w:sz="8" w:space="0" w:color="343631"/>
              <w:left w:val="nil"/>
              <w:bottom w:val="single" w:sz="8" w:space="0" w:color="B8A567"/>
              <w:right w:val="single" w:sz="18" w:space="0" w:color="343631"/>
            </w:tcBorders>
            <w:shd w:val="clear" w:color="auto" w:fill="F2F2F2"/>
            <w:vAlign w:val="center"/>
          </w:tcPr>
          <w:p w14:paraId="5DD624F8" w14:textId="5C3CCF97"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2%</w:t>
            </w:r>
          </w:p>
        </w:tc>
        <w:tc>
          <w:tcPr>
            <w:tcW w:w="741" w:type="pct"/>
            <w:tcBorders>
              <w:top w:val="single" w:sz="8" w:space="0" w:color="343631"/>
              <w:left w:val="single" w:sz="18" w:space="0" w:color="343631"/>
              <w:bottom w:val="single" w:sz="8" w:space="0" w:color="B8A567"/>
              <w:right w:val="single" w:sz="4" w:space="0" w:color="A6A6A6"/>
            </w:tcBorders>
            <w:shd w:val="clear" w:color="auto" w:fill="F7F3E9"/>
            <w:vAlign w:val="center"/>
          </w:tcPr>
          <w:p w14:paraId="0CE28236" w14:textId="133BED60"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hAnsi="DIN Next LT" w:cs="DIN Next LT"/>
                <w:color w:val="000000"/>
                <w:sz w:val="22"/>
                <w:szCs w:val="22"/>
              </w:rPr>
              <w:t>780</w:t>
            </w:r>
          </w:p>
        </w:tc>
        <w:tc>
          <w:tcPr>
            <w:tcW w:w="741" w:type="pct"/>
            <w:tcBorders>
              <w:top w:val="single" w:sz="8" w:space="0" w:color="343631"/>
              <w:left w:val="nil"/>
              <w:bottom w:val="single" w:sz="8" w:space="0" w:color="B8A567"/>
              <w:right w:val="nil"/>
            </w:tcBorders>
            <w:shd w:val="clear" w:color="auto" w:fill="F2F2F2"/>
            <w:vAlign w:val="center"/>
          </w:tcPr>
          <w:p w14:paraId="68AA1187" w14:textId="23F4B2A4"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5</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5EB7A863" w14:textId="77777777" w:rsidTr="009D7333">
        <w:trPr>
          <w:trHeight w:val="144"/>
        </w:trPr>
        <w:tc>
          <w:tcPr>
            <w:tcW w:w="1295" w:type="pct"/>
            <w:tcBorders>
              <w:top w:val="nil"/>
              <w:left w:val="nil"/>
              <w:right w:val="nil"/>
            </w:tcBorders>
            <w:vAlign w:val="center"/>
          </w:tcPr>
          <w:p w14:paraId="4FA5EE91"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EBITDA </w:t>
            </w:r>
          </w:p>
        </w:tc>
        <w:tc>
          <w:tcPr>
            <w:tcW w:w="741" w:type="pct"/>
            <w:tcBorders>
              <w:top w:val="single" w:sz="8" w:space="0" w:color="B8A567"/>
              <w:left w:val="nil"/>
              <w:bottom w:val="single" w:sz="8" w:space="0" w:color="B8A567"/>
              <w:right w:val="single" w:sz="4" w:space="0" w:color="BFBFBF"/>
            </w:tcBorders>
            <w:shd w:val="clear" w:color="auto" w:fill="F7F3E9"/>
            <w:vAlign w:val="center"/>
          </w:tcPr>
          <w:p w14:paraId="2BBE16BB" w14:textId="1A9F96E8"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269</w:t>
            </w:r>
          </w:p>
        </w:tc>
        <w:tc>
          <w:tcPr>
            <w:tcW w:w="741" w:type="pct"/>
            <w:tcBorders>
              <w:top w:val="single" w:sz="8" w:space="0" w:color="B8A567"/>
              <w:left w:val="nil"/>
              <w:bottom w:val="single" w:sz="8" w:space="0" w:color="B8A567"/>
              <w:right w:val="single" w:sz="4" w:space="0" w:color="BFBFBF"/>
            </w:tcBorders>
            <w:vAlign w:val="center"/>
          </w:tcPr>
          <w:p w14:paraId="367AC68C" w14:textId="62A23AC1"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hAnsi="DIN Next LT" w:cs="DIN Next LT"/>
                <w:color w:val="000000"/>
                <w:sz w:val="22"/>
                <w:szCs w:val="22"/>
              </w:rPr>
              <w:t>217</w:t>
            </w:r>
          </w:p>
        </w:tc>
        <w:tc>
          <w:tcPr>
            <w:tcW w:w="741" w:type="pct"/>
            <w:tcBorders>
              <w:top w:val="single" w:sz="8" w:space="0" w:color="B8A567"/>
              <w:left w:val="nil"/>
              <w:bottom w:val="single" w:sz="8" w:space="0" w:color="B8A567"/>
              <w:right w:val="single" w:sz="18" w:space="0" w:color="343631"/>
            </w:tcBorders>
            <w:shd w:val="clear" w:color="auto" w:fill="F2F2F2"/>
            <w:vAlign w:val="center"/>
          </w:tcPr>
          <w:p w14:paraId="1F1FAEB2" w14:textId="7D760ECC"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24%</w:t>
            </w:r>
          </w:p>
        </w:tc>
        <w:tc>
          <w:tcPr>
            <w:tcW w:w="741" w:type="pct"/>
            <w:tcBorders>
              <w:top w:val="single" w:sz="8" w:space="0" w:color="B8A567"/>
              <w:left w:val="single" w:sz="18" w:space="0" w:color="343631"/>
              <w:bottom w:val="single" w:sz="8" w:space="0" w:color="B8A567"/>
              <w:right w:val="single" w:sz="4" w:space="0" w:color="A6A6A6"/>
            </w:tcBorders>
            <w:shd w:val="clear" w:color="auto" w:fill="F7F3E9"/>
            <w:vAlign w:val="center"/>
          </w:tcPr>
          <w:p w14:paraId="779F219B" w14:textId="6A4478DD"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hAnsi="DIN Next LT" w:cs="DIN Next LT"/>
                <w:color w:val="000000"/>
                <w:sz w:val="22"/>
                <w:szCs w:val="22"/>
              </w:rPr>
              <w:t>431</w:t>
            </w:r>
          </w:p>
        </w:tc>
        <w:tc>
          <w:tcPr>
            <w:tcW w:w="741" w:type="pct"/>
            <w:tcBorders>
              <w:top w:val="single" w:sz="8" w:space="0" w:color="B8A567"/>
              <w:left w:val="nil"/>
              <w:bottom w:val="single" w:sz="8" w:space="0" w:color="B8A567"/>
              <w:right w:val="nil"/>
            </w:tcBorders>
            <w:shd w:val="clear" w:color="auto" w:fill="F2F2F2"/>
            <w:vAlign w:val="center"/>
          </w:tcPr>
          <w:p w14:paraId="2ED93AF5" w14:textId="3522A46B"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38</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442D2B96" w14:textId="77777777" w:rsidTr="009D7333">
        <w:trPr>
          <w:trHeight w:val="144"/>
        </w:trPr>
        <w:tc>
          <w:tcPr>
            <w:tcW w:w="1295" w:type="pct"/>
            <w:tcBorders>
              <w:left w:val="nil"/>
              <w:bottom w:val="triple" w:sz="4" w:space="0" w:color="6B634B"/>
              <w:right w:val="nil"/>
            </w:tcBorders>
            <w:vAlign w:val="center"/>
          </w:tcPr>
          <w:p w14:paraId="46C3C092" w14:textId="77777777" w:rsidR="00062AE9" w:rsidRPr="004C2BDA" w:rsidRDefault="00062AE9" w:rsidP="00522DFC">
            <w:pPr>
              <w:spacing w:after="0" w:line="240" w:lineRule="auto"/>
              <w:rPr>
                <w:rFonts w:ascii="DIN Next LT" w:eastAsia="DINNextLTPro-Regular" w:hAnsi="DIN Next LT" w:cs="DIN Next LT"/>
                <w:i/>
                <w:iCs/>
                <w:sz w:val="22"/>
                <w:szCs w:val="22"/>
              </w:rPr>
            </w:pPr>
            <w:r w:rsidRPr="004C2BDA">
              <w:rPr>
                <w:rFonts w:ascii="DIN Next LT" w:eastAsia="DINNextLTPro-Regular" w:hAnsi="DIN Next LT" w:cs="DIN Next LT"/>
                <w:i/>
                <w:iCs/>
                <w:sz w:val="22"/>
                <w:szCs w:val="22"/>
              </w:rPr>
              <w:t>EBITDA margin</w:t>
            </w:r>
          </w:p>
        </w:tc>
        <w:tc>
          <w:tcPr>
            <w:tcW w:w="741" w:type="pct"/>
            <w:tcBorders>
              <w:top w:val="single" w:sz="8" w:space="0" w:color="B8A567"/>
              <w:left w:val="nil"/>
              <w:bottom w:val="triple" w:sz="4" w:space="0" w:color="6B634B"/>
              <w:right w:val="single" w:sz="4" w:space="0" w:color="BFBFBF"/>
            </w:tcBorders>
            <w:shd w:val="clear" w:color="auto" w:fill="F7F3E9"/>
            <w:vAlign w:val="center"/>
          </w:tcPr>
          <w:p w14:paraId="5EBF7C60" w14:textId="51160341"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36%</w:t>
            </w:r>
          </w:p>
        </w:tc>
        <w:tc>
          <w:tcPr>
            <w:tcW w:w="741" w:type="pct"/>
            <w:tcBorders>
              <w:top w:val="single" w:sz="8" w:space="0" w:color="B8A567"/>
              <w:left w:val="nil"/>
              <w:bottom w:val="triple" w:sz="4" w:space="0" w:color="6B634B"/>
              <w:right w:val="single" w:sz="4" w:space="0" w:color="BFBFBF"/>
            </w:tcBorders>
            <w:vAlign w:val="center"/>
          </w:tcPr>
          <w:p w14:paraId="731358D2" w14:textId="14F480D8"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30</w:t>
            </w:r>
            <w:r w:rsidRPr="004C2BDA">
              <w:rPr>
                <w:rFonts w:ascii="DIN Next LT" w:eastAsia="DINNextLTPro-Regular" w:hAnsi="DIN Next LT" w:cs="DIN Next LT"/>
                <w:sz w:val="22"/>
                <w:szCs w:val="22"/>
              </w:rPr>
              <w:t>%</w:t>
            </w:r>
          </w:p>
        </w:tc>
        <w:tc>
          <w:tcPr>
            <w:tcW w:w="741" w:type="pct"/>
            <w:tcBorders>
              <w:top w:val="single" w:sz="8" w:space="0" w:color="B8A567"/>
              <w:left w:val="nil"/>
              <w:bottom w:val="triple" w:sz="4" w:space="0" w:color="6B634B"/>
              <w:right w:val="single" w:sz="18" w:space="0" w:color="343631"/>
            </w:tcBorders>
            <w:shd w:val="clear" w:color="auto" w:fill="F2F2F2"/>
            <w:vAlign w:val="center"/>
          </w:tcPr>
          <w:p w14:paraId="48436A59" w14:textId="0D0A5D8A"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6pp</w:t>
            </w:r>
          </w:p>
        </w:tc>
        <w:tc>
          <w:tcPr>
            <w:tcW w:w="741" w:type="pct"/>
            <w:tcBorders>
              <w:top w:val="single" w:sz="8" w:space="0" w:color="B8A567"/>
              <w:left w:val="single" w:sz="18" w:space="0" w:color="343631"/>
              <w:bottom w:val="triple" w:sz="4" w:space="0" w:color="6B634B"/>
              <w:right w:val="single" w:sz="4" w:space="0" w:color="A6A6A6"/>
            </w:tcBorders>
            <w:shd w:val="clear" w:color="auto" w:fill="F7F3E9"/>
            <w:vAlign w:val="center"/>
          </w:tcPr>
          <w:p w14:paraId="6E4BDAA3" w14:textId="5981BCB0"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55%</w:t>
            </w:r>
          </w:p>
        </w:tc>
        <w:tc>
          <w:tcPr>
            <w:tcW w:w="741" w:type="pct"/>
            <w:tcBorders>
              <w:top w:val="single" w:sz="8" w:space="0" w:color="B8A567"/>
              <w:left w:val="nil"/>
              <w:bottom w:val="triple" w:sz="4" w:space="0" w:color="6B634B"/>
              <w:right w:val="nil"/>
            </w:tcBorders>
            <w:shd w:val="clear" w:color="auto" w:fill="F2F2F2"/>
            <w:vAlign w:val="center"/>
          </w:tcPr>
          <w:p w14:paraId="6F0F9753" w14:textId="61B3213E"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19</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pp</w:t>
            </w:r>
            <w:proofErr w:type="gramEnd"/>
          </w:p>
        </w:tc>
      </w:tr>
      <w:tr w:rsidR="00522DFC" w:rsidRPr="004C2BDA" w14:paraId="294F648E" w14:textId="77777777" w:rsidTr="008F10DC">
        <w:trPr>
          <w:trHeight w:val="136"/>
        </w:trPr>
        <w:tc>
          <w:tcPr>
            <w:tcW w:w="5000" w:type="pct"/>
            <w:gridSpan w:val="6"/>
            <w:tcBorders>
              <w:top w:val="triple" w:sz="4" w:space="0" w:color="6B634B"/>
              <w:left w:val="nil"/>
            </w:tcBorders>
            <w:vAlign w:val="center"/>
          </w:tcPr>
          <w:p w14:paraId="13EDEAA4" w14:textId="77777777" w:rsidR="00522DFC" w:rsidRPr="004C2BDA" w:rsidRDefault="00522DFC" w:rsidP="00522DFC">
            <w:pPr>
              <w:spacing w:after="0" w:line="240" w:lineRule="auto"/>
              <w:rPr>
                <w:rFonts w:ascii="DIN Next LT" w:eastAsia="DINNextLTPro-Regular" w:hAnsi="DIN Next LT" w:cs="DIN Next LT"/>
                <w:i/>
                <w:iCs/>
                <w:sz w:val="22"/>
                <w:szCs w:val="22"/>
                <w:highlight w:val="yellow"/>
              </w:rPr>
            </w:pPr>
            <w:r w:rsidRPr="004C2BDA">
              <w:rPr>
                <w:rFonts w:ascii="DIN Next LT" w:eastAsia="Times New Roman" w:hAnsi="DIN Next LT" w:cs="DIN Next LT"/>
                <w:b/>
                <w:bCs/>
                <w:color w:val="B8A567"/>
                <w:sz w:val="22"/>
                <w:szCs w:val="22"/>
              </w:rPr>
              <w:t>Production volume (</w:t>
            </w:r>
            <w:proofErr w:type="spellStart"/>
            <w:r w:rsidRPr="004C2BDA">
              <w:rPr>
                <w:rFonts w:ascii="DIN Next LT" w:eastAsia="Times New Roman" w:hAnsi="DIN Next LT" w:cs="DIN Next LT"/>
                <w:b/>
                <w:bCs/>
                <w:color w:val="B8A567"/>
                <w:sz w:val="22"/>
                <w:szCs w:val="22"/>
              </w:rPr>
              <w:t>kmt</w:t>
            </w:r>
            <w:proofErr w:type="spellEnd"/>
            <w:r w:rsidRPr="004C2BDA">
              <w:rPr>
                <w:rFonts w:ascii="DIN Next LT" w:eastAsia="Times New Roman" w:hAnsi="DIN Next LT" w:cs="DIN Next LT"/>
                <w:b/>
                <w:bCs/>
                <w:color w:val="B8A567"/>
                <w:sz w:val="22"/>
                <w:szCs w:val="22"/>
              </w:rPr>
              <w:t>)</w:t>
            </w:r>
          </w:p>
        </w:tc>
      </w:tr>
      <w:tr w:rsidR="00062AE9" w:rsidRPr="004C2BDA" w14:paraId="5396F608" w14:textId="77777777" w:rsidTr="009D7333">
        <w:trPr>
          <w:trHeight w:val="144"/>
        </w:trPr>
        <w:tc>
          <w:tcPr>
            <w:tcW w:w="1295" w:type="pct"/>
            <w:tcBorders>
              <w:top w:val="nil"/>
              <w:left w:val="nil"/>
              <w:right w:val="nil"/>
            </w:tcBorders>
            <w:vAlign w:val="center"/>
          </w:tcPr>
          <w:p w14:paraId="65D1604B"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Alumina</w:t>
            </w:r>
          </w:p>
        </w:tc>
        <w:tc>
          <w:tcPr>
            <w:tcW w:w="741" w:type="pct"/>
            <w:tcBorders>
              <w:left w:val="nil"/>
              <w:bottom w:val="single" w:sz="4" w:space="0" w:color="B8A567"/>
              <w:right w:val="single" w:sz="4" w:space="0" w:color="BFBFBF"/>
            </w:tcBorders>
            <w:shd w:val="clear" w:color="auto" w:fill="F7F3E9"/>
            <w:vAlign w:val="center"/>
          </w:tcPr>
          <w:p w14:paraId="2C680CBE" w14:textId="45DCFDC1" w:rsidR="00062AE9" w:rsidRPr="004C2BDA" w:rsidRDefault="00F9680D" w:rsidP="00522DFC">
            <w:pPr>
              <w:spacing w:after="0" w:line="240" w:lineRule="auto"/>
              <w:jc w:val="right"/>
              <w:rPr>
                <w:rFonts w:ascii="DIN Next LT" w:eastAsia="DINNextLTPro-Regular" w:hAnsi="DIN Next LT" w:cs="DIN Next LT"/>
                <w:b/>
                <w:bCs/>
                <w:sz w:val="22"/>
                <w:szCs w:val="22"/>
              </w:rPr>
            </w:pPr>
            <w:r w:rsidRPr="00CA6875">
              <w:rPr>
                <w:rFonts w:ascii="DIN Next LT" w:eastAsia="DINNextLTPro-Regular" w:hAnsi="DIN Next LT" w:cs="DIN Next LT" w:hint="cs"/>
                <w:b/>
                <w:bCs/>
                <w:sz w:val="22"/>
                <w:szCs w:val="22"/>
              </w:rPr>
              <w:t>46</w:t>
            </w:r>
            <w:r w:rsidR="00792C17">
              <w:rPr>
                <w:rFonts w:ascii="DIN Next LT" w:eastAsia="DINNextLTPro-Regular" w:hAnsi="DIN Next LT" w:cs="DIN Next LT"/>
                <w:b/>
                <w:bCs/>
                <w:sz w:val="22"/>
                <w:szCs w:val="22"/>
              </w:rPr>
              <w:t>6</w:t>
            </w:r>
          </w:p>
        </w:tc>
        <w:tc>
          <w:tcPr>
            <w:tcW w:w="741" w:type="pct"/>
            <w:tcBorders>
              <w:left w:val="nil"/>
              <w:bottom w:val="single" w:sz="4" w:space="0" w:color="B8A567"/>
              <w:right w:val="single" w:sz="4" w:space="0" w:color="BFBFBF"/>
            </w:tcBorders>
            <w:vAlign w:val="center"/>
          </w:tcPr>
          <w:p w14:paraId="2EBD934A" w14:textId="5C1ED621"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478</w:t>
            </w:r>
          </w:p>
        </w:tc>
        <w:tc>
          <w:tcPr>
            <w:tcW w:w="741" w:type="pct"/>
            <w:tcBorders>
              <w:left w:val="nil"/>
              <w:bottom w:val="single" w:sz="4" w:space="0" w:color="B8A567"/>
              <w:right w:val="single" w:sz="18" w:space="0" w:color="343631"/>
            </w:tcBorders>
            <w:shd w:val="clear" w:color="auto" w:fill="F2F2F2"/>
            <w:vAlign w:val="center"/>
          </w:tcPr>
          <w:p w14:paraId="39C8558D" w14:textId="300F2483"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2</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c>
          <w:tcPr>
            <w:tcW w:w="741" w:type="pct"/>
            <w:tcBorders>
              <w:left w:val="single" w:sz="18" w:space="0" w:color="343631"/>
              <w:bottom w:val="single" w:sz="4" w:space="0" w:color="B8A567"/>
              <w:right w:val="single" w:sz="4" w:space="0" w:color="A6A6A6"/>
            </w:tcBorders>
            <w:shd w:val="clear" w:color="auto" w:fill="F7F3E9"/>
            <w:vAlign w:val="center"/>
          </w:tcPr>
          <w:p w14:paraId="2EF2034D" w14:textId="1A5BA07E"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466</w:t>
            </w:r>
          </w:p>
        </w:tc>
        <w:tc>
          <w:tcPr>
            <w:tcW w:w="741" w:type="pct"/>
            <w:tcBorders>
              <w:left w:val="nil"/>
              <w:bottom w:val="single" w:sz="4" w:space="0" w:color="B8A567"/>
              <w:right w:val="nil"/>
            </w:tcBorders>
            <w:shd w:val="clear" w:color="auto" w:fill="F2F2F2"/>
            <w:vAlign w:val="center"/>
          </w:tcPr>
          <w:p w14:paraId="15756456" w14:textId="05B00808" w:rsidR="00062AE9" w:rsidRPr="004C2BDA" w:rsidRDefault="00F9680D"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
        </w:tc>
      </w:tr>
      <w:tr w:rsidR="00062AE9" w:rsidRPr="004C2BDA" w14:paraId="05099782" w14:textId="77777777" w:rsidTr="009D7333">
        <w:trPr>
          <w:trHeight w:val="144"/>
        </w:trPr>
        <w:tc>
          <w:tcPr>
            <w:tcW w:w="1295" w:type="pct"/>
            <w:tcBorders>
              <w:top w:val="nil"/>
              <w:left w:val="nil"/>
              <w:right w:val="nil"/>
            </w:tcBorders>
            <w:vAlign w:val="center"/>
          </w:tcPr>
          <w:p w14:paraId="616972FC"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Aluminum</w:t>
            </w:r>
          </w:p>
        </w:tc>
        <w:tc>
          <w:tcPr>
            <w:tcW w:w="741" w:type="pct"/>
            <w:tcBorders>
              <w:left w:val="nil"/>
              <w:bottom w:val="single" w:sz="4" w:space="0" w:color="B8A567"/>
              <w:right w:val="single" w:sz="4" w:space="0" w:color="BFBFBF"/>
            </w:tcBorders>
            <w:shd w:val="clear" w:color="auto" w:fill="F7F3E9"/>
            <w:vAlign w:val="center"/>
          </w:tcPr>
          <w:p w14:paraId="256D24D6" w14:textId="11790E2F" w:rsidR="00062AE9" w:rsidRPr="004C2BDA" w:rsidRDefault="00062AE9" w:rsidP="00522DFC">
            <w:pPr>
              <w:spacing w:after="0" w:line="240" w:lineRule="auto"/>
              <w:jc w:val="right"/>
              <w:rPr>
                <w:rFonts w:ascii="DIN Next LT" w:eastAsia="DINNextLTPro-Regular" w:hAnsi="DIN Next LT" w:cs="DIN Next LT"/>
                <w:b/>
                <w:bCs/>
                <w:sz w:val="22"/>
                <w:szCs w:val="22"/>
              </w:rPr>
            </w:pPr>
            <w:r w:rsidRPr="00CA6875">
              <w:rPr>
                <w:rFonts w:ascii="DIN Next LT" w:eastAsia="DINNextLTPro-Regular" w:hAnsi="DIN Next LT" w:cs="DIN Next LT" w:hint="cs"/>
                <w:b/>
                <w:bCs/>
                <w:sz w:val="22"/>
                <w:szCs w:val="22"/>
              </w:rPr>
              <w:t>248</w:t>
            </w:r>
          </w:p>
        </w:tc>
        <w:tc>
          <w:tcPr>
            <w:tcW w:w="741" w:type="pct"/>
            <w:tcBorders>
              <w:left w:val="nil"/>
              <w:bottom w:val="single" w:sz="4" w:space="0" w:color="B8A567"/>
              <w:right w:val="single" w:sz="4" w:space="0" w:color="BFBFBF"/>
            </w:tcBorders>
            <w:vAlign w:val="center"/>
          </w:tcPr>
          <w:p w14:paraId="672ADFCF" w14:textId="7E4CCD0C"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249</w:t>
            </w:r>
          </w:p>
        </w:tc>
        <w:tc>
          <w:tcPr>
            <w:tcW w:w="741" w:type="pct"/>
            <w:tcBorders>
              <w:left w:val="nil"/>
              <w:bottom w:val="single" w:sz="4" w:space="0" w:color="B8A567"/>
              <w:right w:val="single" w:sz="18" w:space="0" w:color="343631"/>
            </w:tcBorders>
            <w:shd w:val="clear" w:color="auto" w:fill="F2F2F2"/>
            <w:vAlign w:val="center"/>
          </w:tcPr>
          <w:p w14:paraId="72D8FFA2" w14:textId="294D013B"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 xml:space="preserve">- </w:t>
            </w:r>
          </w:p>
        </w:tc>
        <w:tc>
          <w:tcPr>
            <w:tcW w:w="741" w:type="pct"/>
            <w:tcBorders>
              <w:left w:val="single" w:sz="18" w:space="0" w:color="343631"/>
              <w:bottom w:val="single" w:sz="4" w:space="0" w:color="B8A567"/>
              <w:right w:val="single" w:sz="4" w:space="0" w:color="A6A6A6"/>
            </w:tcBorders>
            <w:shd w:val="clear" w:color="auto" w:fill="F7F3E9"/>
            <w:vAlign w:val="center"/>
          </w:tcPr>
          <w:p w14:paraId="1F1ACB9D" w14:textId="2B71E3EE"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258</w:t>
            </w:r>
          </w:p>
        </w:tc>
        <w:tc>
          <w:tcPr>
            <w:tcW w:w="741" w:type="pct"/>
            <w:tcBorders>
              <w:left w:val="nil"/>
              <w:bottom w:val="single" w:sz="4" w:space="0" w:color="B8A567"/>
              <w:right w:val="nil"/>
            </w:tcBorders>
            <w:shd w:val="clear" w:color="auto" w:fill="F2F2F2"/>
            <w:vAlign w:val="center"/>
          </w:tcPr>
          <w:p w14:paraId="620215C2" w14:textId="4FF87906"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4</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522DFC" w:rsidRPr="004C2BDA" w14:paraId="5D2D79AC" w14:textId="77777777" w:rsidTr="008F10DC">
        <w:trPr>
          <w:trHeight w:val="136"/>
        </w:trPr>
        <w:tc>
          <w:tcPr>
            <w:tcW w:w="5000" w:type="pct"/>
            <w:gridSpan w:val="6"/>
            <w:tcBorders>
              <w:top w:val="triple" w:sz="4" w:space="0" w:color="6B634B"/>
              <w:left w:val="nil"/>
            </w:tcBorders>
            <w:vAlign w:val="center"/>
          </w:tcPr>
          <w:p w14:paraId="7F1ED710" w14:textId="77777777" w:rsidR="00522DFC" w:rsidRPr="004C2BDA" w:rsidRDefault="00522DFC" w:rsidP="00522DFC">
            <w:pPr>
              <w:spacing w:after="0" w:line="240" w:lineRule="auto"/>
              <w:rPr>
                <w:rFonts w:ascii="DIN Next LT" w:eastAsia="DINNextLTPro-Regular" w:hAnsi="DIN Next LT" w:cs="DIN Next LT"/>
                <w:b/>
                <w:bCs/>
                <w:sz w:val="22"/>
                <w:szCs w:val="22"/>
              </w:rPr>
            </w:pPr>
            <w:r w:rsidRPr="004C2BDA">
              <w:rPr>
                <w:rFonts w:ascii="DIN Next LT" w:eastAsia="Times New Roman" w:hAnsi="DIN Next LT" w:cs="DIN Next LT"/>
                <w:b/>
                <w:bCs/>
                <w:color w:val="B8A567"/>
                <w:sz w:val="22"/>
                <w:szCs w:val="22"/>
              </w:rPr>
              <w:t>Avg. realized prices ($/mt)</w:t>
            </w:r>
          </w:p>
        </w:tc>
      </w:tr>
      <w:tr w:rsidR="00062AE9" w:rsidRPr="004C2BDA" w14:paraId="28AE6691" w14:textId="77777777" w:rsidTr="009D7333">
        <w:trPr>
          <w:trHeight w:val="144"/>
        </w:trPr>
        <w:tc>
          <w:tcPr>
            <w:tcW w:w="1295" w:type="pct"/>
            <w:tcBorders>
              <w:top w:val="nil"/>
              <w:left w:val="nil"/>
              <w:right w:val="nil"/>
            </w:tcBorders>
            <w:vAlign w:val="center"/>
          </w:tcPr>
          <w:p w14:paraId="34A194E0"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Alumina</w:t>
            </w:r>
          </w:p>
        </w:tc>
        <w:tc>
          <w:tcPr>
            <w:tcW w:w="741" w:type="pct"/>
            <w:tcBorders>
              <w:left w:val="nil"/>
              <w:bottom w:val="single" w:sz="4" w:space="0" w:color="B8A567"/>
              <w:right w:val="single" w:sz="4" w:space="0" w:color="BFBFBF"/>
            </w:tcBorders>
            <w:shd w:val="clear" w:color="auto" w:fill="F7F3E9"/>
            <w:vAlign w:val="center"/>
          </w:tcPr>
          <w:p w14:paraId="35D9239A" w14:textId="4C80AAF9" w:rsidR="00062AE9" w:rsidRPr="004C2BDA" w:rsidRDefault="00D1766B"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315</w:t>
            </w:r>
          </w:p>
        </w:tc>
        <w:tc>
          <w:tcPr>
            <w:tcW w:w="741" w:type="pct"/>
            <w:tcBorders>
              <w:left w:val="nil"/>
              <w:bottom w:val="single" w:sz="4" w:space="0" w:color="B8A567"/>
              <w:right w:val="single" w:sz="4" w:space="0" w:color="BFBFBF"/>
            </w:tcBorders>
            <w:vAlign w:val="center"/>
          </w:tcPr>
          <w:p w14:paraId="663796B2" w14:textId="45BD50ED" w:rsidR="00062AE9" w:rsidRPr="004C2BDA" w:rsidRDefault="00FC522F"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621</w:t>
            </w:r>
          </w:p>
        </w:tc>
        <w:tc>
          <w:tcPr>
            <w:tcW w:w="741" w:type="pct"/>
            <w:tcBorders>
              <w:left w:val="nil"/>
              <w:bottom w:val="single" w:sz="4" w:space="0" w:color="B8A567"/>
              <w:right w:val="single" w:sz="18" w:space="0" w:color="343631"/>
            </w:tcBorders>
            <w:shd w:val="clear" w:color="auto" w:fill="F2F2F2"/>
            <w:vAlign w:val="center"/>
          </w:tcPr>
          <w:p w14:paraId="7D9D1D00" w14:textId="0A47C74E"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FC522F">
              <w:rPr>
                <w:rFonts w:ascii="DIN Next LT" w:eastAsia="DINNextLTPro-Regular" w:hAnsi="DIN Next LT" w:cs="DIN Next LT"/>
                <w:i/>
                <w:iCs/>
                <w:sz w:val="22"/>
                <w:szCs w:val="22"/>
              </w:rPr>
              <w:t>49</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c>
          <w:tcPr>
            <w:tcW w:w="741" w:type="pct"/>
            <w:tcBorders>
              <w:left w:val="single" w:sz="18" w:space="0" w:color="343631"/>
              <w:bottom w:val="single" w:sz="4" w:space="0" w:color="B8A567"/>
              <w:right w:val="single" w:sz="4" w:space="0" w:color="A6A6A6"/>
            </w:tcBorders>
            <w:shd w:val="clear" w:color="auto" w:fill="F7F3E9"/>
            <w:vAlign w:val="center"/>
          </w:tcPr>
          <w:p w14:paraId="1FA0957C" w14:textId="2BA1D220"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327</w:t>
            </w:r>
          </w:p>
        </w:tc>
        <w:tc>
          <w:tcPr>
            <w:tcW w:w="741" w:type="pct"/>
            <w:tcBorders>
              <w:left w:val="nil"/>
              <w:bottom w:val="single" w:sz="4" w:space="0" w:color="B8A567"/>
              <w:right w:val="nil"/>
            </w:tcBorders>
            <w:shd w:val="clear" w:color="auto" w:fill="F2F2F2"/>
            <w:vAlign w:val="center"/>
          </w:tcPr>
          <w:p w14:paraId="6E936C4B" w14:textId="7F2BEC71"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D1766B">
              <w:rPr>
                <w:rFonts w:ascii="DIN Next LT" w:eastAsia="DINNextLTPro-Regular" w:hAnsi="DIN Next LT" w:cs="DIN Next LT"/>
                <w:i/>
                <w:iCs/>
                <w:sz w:val="22"/>
                <w:szCs w:val="22"/>
              </w:rPr>
              <w:t>4</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2FD6A59F" w14:textId="77777777" w:rsidTr="009D7333">
        <w:trPr>
          <w:trHeight w:val="144"/>
        </w:trPr>
        <w:tc>
          <w:tcPr>
            <w:tcW w:w="1295" w:type="pct"/>
            <w:tcBorders>
              <w:top w:val="nil"/>
              <w:left w:val="nil"/>
              <w:right w:val="nil"/>
            </w:tcBorders>
            <w:vAlign w:val="center"/>
          </w:tcPr>
          <w:p w14:paraId="45A1A31D"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Aluminum</w:t>
            </w:r>
          </w:p>
        </w:tc>
        <w:tc>
          <w:tcPr>
            <w:tcW w:w="741" w:type="pct"/>
            <w:tcBorders>
              <w:left w:val="nil"/>
              <w:bottom w:val="single" w:sz="4" w:space="0" w:color="B8A567"/>
              <w:right w:val="single" w:sz="4" w:space="0" w:color="BFBFBF"/>
            </w:tcBorders>
            <w:shd w:val="clear" w:color="auto" w:fill="F7F3E9"/>
            <w:vAlign w:val="center"/>
          </w:tcPr>
          <w:p w14:paraId="64FB7297" w14:textId="03EEE749"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3,</w:t>
            </w:r>
            <w:r w:rsidR="00FC522F">
              <w:rPr>
                <w:rFonts w:ascii="DIN Next LT" w:eastAsia="DINNextLTPro-Regular" w:hAnsi="DIN Next LT" w:cs="DIN Next LT"/>
                <w:b/>
                <w:bCs/>
                <w:sz w:val="22"/>
                <w:szCs w:val="22"/>
              </w:rPr>
              <w:t>282</w:t>
            </w:r>
          </w:p>
        </w:tc>
        <w:tc>
          <w:tcPr>
            <w:tcW w:w="741" w:type="pct"/>
            <w:tcBorders>
              <w:left w:val="nil"/>
              <w:bottom w:val="single" w:sz="4" w:space="0" w:color="B8A567"/>
              <w:right w:val="single" w:sz="4" w:space="0" w:color="BFBFBF"/>
            </w:tcBorders>
            <w:vAlign w:val="center"/>
          </w:tcPr>
          <w:p w14:paraId="1D67E9A4" w14:textId="7F2B90DD" w:rsidR="00062AE9" w:rsidRPr="004C2BDA" w:rsidRDefault="00FC522F"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2,716</w:t>
            </w:r>
          </w:p>
        </w:tc>
        <w:tc>
          <w:tcPr>
            <w:tcW w:w="741" w:type="pct"/>
            <w:tcBorders>
              <w:left w:val="nil"/>
              <w:bottom w:val="single" w:sz="4" w:space="0" w:color="B8A567"/>
              <w:right w:val="single" w:sz="18" w:space="0" w:color="343631"/>
            </w:tcBorders>
            <w:shd w:val="clear" w:color="auto" w:fill="F2F2F2"/>
            <w:vAlign w:val="center"/>
          </w:tcPr>
          <w:p w14:paraId="367B09CD" w14:textId="1B9E4C20" w:rsidR="00062AE9" w:rsidRPr="004C2BDA" w:rsidRDefault="00FC522F"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21</w:t>
            </w:r>
            <w:r w:rsidR="00062AE9">
              <w:rPr>
                <w:rFonts w:ascii="DIN Next LT" w:eastAsia="DINNextLTPro-Regular" w:hAnsi="DIN Next LT" w:cs="DIN Next LT"/>
                <w:i/>
                <w:iCs/>
                <w:sz w:val="22"/>
                <w:szCs w:val="22"/>
              </w:rPr>
              <w:t>%</w:t>
            </w:r>
          </w:p>
        </w:tc>
        <w:tc>
          <w:tcPr>
            <w:tcW w:w="741" w:type="pct"/>
            <w:tcBorders>
              <w:left w:val="single" w:sz="18" w:space="0" w:color="343631"/>
              <w:bottom w:val="single" w:sz="4" w:space="0" w:color="B8A567"/>
              <w:right w:val="single" w:sz="4" w:space="0" w:color="A6A6A6"/>
            </w:tcBorders>
            <w:shd w:val="clear" w:color="auto" w:fill="F7F3E9"/>
            <w:vAlign w:val="center"/>
          </w:tcPr>
          <w:p w14:paraId="44427076" w14:textId="0FF160A8"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2,809</w:t>
            </w:r>
          </w:p>
        </w:tc>
        <w:tc>
          <w:tcPr>
            <w:tcW w:w="741" w:type="pct"/>
            <w:tcBorders>
              <w:left w:val="nil"/>
              <w:bottom w:val="single" w:sz="4" w:space="0" w:color="B8A567"/>
              <w:right w:val="nil"/>
            </w:tcBorders>
            <w:shd w:val="clear" w:color="auto" w:fill="F2F2F2"/>
            <w:vAlign w:val="center"/>
          </w:tcPr>
          <w:p w14:paraId="43E1285F" w14:textId="22DB1E40" w:rsidR="00062AE9" w:rsidRPr="004C2BDA" w:rsidRDefault="00D6003F"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17</w:t>
            </w:r>
            <w:r w:rsidR="00062AE9">
              <w:rPr>
                <w:rFonts w:ascii="DIN Next LT" w:eastAsia="DINNextLTPro-Regular" w:hAnsi="DIN Next LT" w:cs="DIN Next LT"/>
                <w:i/>
                <w:iCs/>
                <w:sz w:val="22"/>
                <w:szCs w:val="22"/>
              </w:rPr>
              <w:t>%</w:t>
            </w:r>
          </w:p>
        </w:tc>
      </w:tr>
      <w:tr w:rsidR="00522DFC" w:rsidRPr="004C2BDA" w14:paraId="081372F0" w14:textId="77777777" w:rsidTr="008F10DC">
        <w:trPr>
          <w:trHeight w:val="136"/>
        </w:trPr>
        <w:tc>
          <w:tcPr>
            <w:tcW w:w="5000" w:type="pct"/>
            <w:gridSpan w:val="6"/>
            <w:tcBorders>
              <w:top w:val="triple" w:sz="4" w:space="0" w:color="auto"/>
              <w:left w:val="nil"/>
              <w:right w:val="nil"/>
            </w:tcBorders>
            <w:vAlign w:val="center"/>
          </w:tcPr>
          <w:p w14:paraId="589C87D2" w14:textId="77777777" w:rsidR="00522DFC" w:rsidRPr="004C2BDA" w:rsidRDefault="00522DFC" w:rsidP="00522DFC">
            <w:pPr>
              <w:spacing w:after="0" w:line="240" w:lineRule="auto"/>
              <w:rPr>
                <w:rFonts w:ascii="DIN Next LT" w:eastAsia="DINNextLTPro-Regular" w:hAnsi="DIN Next LT" w:cs="DIN Next LT"/>
                <w:i/>
                <w:iCs/>
                <w:sz w:val="22"/>
                <w:szCs w:val="22"/>
              </w:rPr>
            </w:pPr>
            <w:r w:rsidRPr="004C2BDA">
              <w:rPr>
                <w:rFonts w:ascii="DIN Next LT" w:eastAsia="Times New Roman" w:hAnsi="DIN Next LT" w:cs="DIN Next LT"/>
                <w:b/>
                <w:bCs/>
                <w:color w:val="B8A567"/>
                <w:sz w:val="22"/>
                <w:szCs w:val="22"/>
              </w:rPr>
              <w:lastRenderedPageBreak/>
              <w:t>Avg. cost per ton ($/mt)</w:t>
            </w:r>
          </w:p>
        </w:tc>
      </w:tr>
      <w:tr w:rsidR="00062AE9" w:rsidRPr="004C2BDA" w14:paraId="707F3CB6" w14:textId="77777777" w:rsidTr="009D7333">
        <w:trPr>
          <w:trHeight w:val="144"/>
        </w:trPr>
        <w:tc>
          <w:tcPr>
            <w:tcW w:w="1295" w:type="pct"/>
            <w:tcBorders>
              <w:left w:val="nil"/>
              <w:right w:val="nil"/>
            </w:tcBorders>
            <w:vAlign w:val="center"/>
          </w:tcPr>
          <w:p w14:paraId="6D2D0706"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Alumina</w:t>
            </w:r>
          </w:p>
        </w:tc>
        <w:tc>
          <w:tcPr>
            <w:tcW w:w="741" w:type="pct"/>
            <w:tcBorders>
              <w:left w:val="nil"/>
              <w:bottom w:val="single" w:sz="4" w:space="0" w:color="B8A567"/>
              <w:right w:val="single" w:sz="4" w:space="0" w:color="BFBFBF"/>
            </w:tcBorders>
            <w:shd w:val="clear" w:color="auto" w:fill="F7F3E9"/>
            <w:vAlign w:val="center"/>
          </w:tcPr>
          <w:p w14:paraId="737366F7" w14:textId="531AB106" w:rsidR="00062AE9" w:rsidRPr="004C2BDA" w:rsidRDefault="008D2F0A"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285</w:t>
            </w:r>
          </w:p>
        </w:tc>
        <w:tc>
          <w:tcPr>
            <w:tcW w:w="741" w:type="pct"/>
            <w:tcBorders>
              <w:left w:val="nil"/>
              <w:bottom w:val="single" w:sz="4" w:space="0" w:color="B8A567"/>
              <w:right w:val="single" w:sz="4" w:space="0" w:color="BFBFBF"/>
            </w:tcBorders>
            <w:vAlign w:val="center"/>
          </w:tcPr>
          <w:p w14:paraId="2D420040" w14:textId="696DC27D" w:rsidR="00062AE9" w:rsidRPr="004C2BDA" w:rsidRDefault="00062AE9" w:rsidP="00522DFC">
            <w:pPr>
              <w:spacing w:after="0" w:line="240" w:lineRule="auto"/>
              <w:jc w:val="right"/>
              <w:rPr>
                <w:rFonts w:ascii="DIN Next LT" w:eastAsia="DINNextLTPro-Regular" w:hAnsi="DIN Next LT" w:cs="DIN Next LT"/>
                <w:sz w:val="22"/>
                <w:szCs w:val="22"/>
              </w:rPr>
            </w:pPr>
            <w:r w:rsidRPr="00CA6875">
              <w:rPr>
                <w:rFonts w:ascii="DIN Next LT" w:eastAsia="DINNextLTPro-Regular" w:hAnsi="DIN Next LT" w:cs="DIN Next LT" w:hint="cs"/>
                <w:sz w:val="22"/>
                <w:szCs w:val="22"/>
              </w:rPr>
              <w:t>330</w:t>
            </w:r>
          </w:p>
        </w:tc>
        <w:tc>
          <w:tcPr>
            <w:tcW w:w="741" w:type="pct"/>
            <w:tcBorders>
              <w:left w:val="nil"/>
              <w:bottom w:val="single" w:sz="4" w:space="0" w:color="B8A567"/>
              <w:right w:val="single" w:sz="18" w:space="0" w:color="343631"/>
            </w:tcBorders>
            <w:shd w:val="clear" w:color="auto" w:fill="F2F2F2"/>
            <w:vAlign w:val="center"/>
          </w:tcPr>
          <w:p w14:paraId="58106E17" w14:textId="4A943BA0"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Pr>
                <w:rFonts w:ascii="DIN Next LT" w:eastAsia="DINNextLTPro-Regular" w:hAnsi="DIN Next LT" w:cs="DIN Next LT"/>
                <w:i/>
                <w:iCs/>
                <w:sz w:val="22"/>
                <w:szCs w:val="22"/>
              </w:rPr>
              <w:t>14)</w:t>
            </w:r>
            <w:r w:rsidR="00D6003F">
              <w:rPr>
                <w:rFonts w:ascii="DIN Next LT" w:eastAsia="DINNextLTPro-Regular" w:hAnsi="DIN Next LT" w:cs="DIN Next LT"/>
                <w:i/>
                <w:iCs/>
                <w:sz w:val="22"/>
                <w:szCs w:val="22"/>
              </w:rPr>
              <w:t>%</w:t>
            </w:r>
            <w:proofErr w:type="gramEnd"/>
          </w:p>
        </w:tc>
        <w:tc>
          <w:tcPr>
            <w:tcW w:w="741" w:type="pct"/>
            <w:tcBorders>
              <w:left w:val="single" w:sz="18" w:space="0" w:color="343631"/>
              <w:bottom w:val="single" w:sz="4" w:space="0" w:color="B8A567"/>
              <w:right w:val="single" w:sz="4" w:space="0" w:color="A6A6A6"/>
            </w:tcBorders>
            <w:shd w:val="clear" w:color="auto" w:fill="F7F3E9"/>
            <w:vAlign w:val="center"/>
          </w:tcPr>
          <w:p w14:paraId="3663C74F" w14:textId="02A65F79" w:rsidR="00062AE9" w:rsidRPr="005E27D5" w:rsidRDefault="00062AE9" w:rsidP="00522DF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338</w:t>
            </w:r>
          </w:p>
        </w:tc>
        <w:tc>
          <w:tcPr>
            <w:tcW w:w="741" w:type="pct"/>
            <w:tcBorders>
              <w:left w:val="nil"/>
              <w:bottom w:val="single" w:sz="4" w:space="0" w:color="B8A567"/>
              <w:right w:val="nil"/>
            </w:tcBorders>
            <w:shd w:val="clear" w:color="auto" w:fill="F2F2F2"/>
            <w:vAlign w:val="center"/>
          </w:tcPr>
          <w:p w14:paraId="2CE1E0F1" w14:textId="42060454"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D1766B">
              <w:rPr>
                <w:rFonts w:ascii="DIN Next LT" w:eastAsia="DINNextLTPro-Regular" w:hAnsi="DIN Next LT" w:cs="DIN Next LT"/>
                <w:i/>
                <w:iCs/>
                <w:sz w:val="22"/>
                <w:szCs w:val="22"/>
              </w:rPr>
              <w:t>16</w:t>
            </w:r>
            <w:r>
              <w:rPr>
                <w:rFonts w:ascii="DIN Next LT" w:eastAsia="DINNextLTPro-Regular" w:hAnsi="DIN Next LT" w:cs="DIN Next LT"/>
                <w:i/>
                <w:iCs/>
                <w:sz w:val="22"/>
                <w:szCs w:val="22"/>
              </w:rPr>
              <w:t>)</w:t>
            </w:r>
            <w:r w:rsidR="00D6003F">
              <w:rPr>
                <w:rFonts w:ascii="DIN Next LT" w:eastAsia="DINNextLTPro-Regular" w:hAnsi="DIN Next LT" w:cs="DIN Next LT"/>
                <w:i/>
                <w:iCs/>
                <w:sz w:val="22"/>
                <w:szCs w:val="22"/>
              </w:rPr>
              <w:t>%</w:t>
            </w:r>
            <w:proofErr w:type="gramEnd"/>
          </w:p>
        </w:tc>
      </w:tr>
      <w:tr w:rsidR="00062AE9" w:rsidRPr="004C2BDA" w14:paraId="3FDCB956" w14:textId="77777777" w:rsidTr="009D7333">
        <w:trPr>
          <w:trHeight w:val="144"/>
        </w:trPr>
        <w:tc>
          <w:tcPr>
            <w:tcW w:w="1295" w:type="pct"/>
            <w:tcBorders>
              <w:top w:val="nil"/>
              <w:left w:val="nil"/>
              <w:bottom w:val="triple" w:sz="4" w:space="0" w:color="6B634B"/>
              <w:right w:val="nil"/>
            </w:tcBorders>
            <w:vAlign w:val="center"/>
          </w:tcPr>
          <w:p w14:paraId="5C49170A"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Aluminum</w:t>
            </w:r>
          </w:p>
        </w:tc>
        <w:tc>
          <w:tcPr>
            <w:tcW w:w="741" w:type="pct"/>
            <w:tcBorders>
              <w:top w:val="single" w:sz="4" w:space="0" w:color="B8A567"/>
              <w:left w:val="nil"/>
              <w:bottom w:val="triple" w:sz="4" w:space="0" w:color="6B634B"/>
              <w:right w:val="single" w:sz="4" w:space="0" w:color="BFBFBF"/>
            </w:tcBorders>
            <w:shd w:val="clear" w:color="auto" w:fill="F7F3E9"/>
            <w:vAlign w:val="center"/>
          </w:tcPr>
          <w:p w14:paraId="7B05BD76" w14:textId="18A93A1A" w:rsidR="00062AE9" w:rsidRPr="004C2BDA" w:rsidRDefault="00D6003F"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2,220</w:t>
            </w:r>
          </w:p>
        </w:tc>
        <w:tc>
          <w:tcPr>
            <w:tcW w:w="741" w:type="pct"/>
            <w:tcBorders>
              <w:top w:val="single" w:sz="4" w:space="0" w:color="B8A567"/>
              <w:left w:val="nil"/>
              <w:bottom w:val="triple" w:sz="4" w:space="0" w:color="6B634B"/>
              <w:right w:val="single" w:sz="4" w:space="0" w:color="BFBFBF"/>
            </w:tcBorders>
            <w:vAlign w:val="center"/>
          </w:tcPr>
          <w:p w14:paraId="2642481D" w14:textId="34624CEC"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2,561</w:t>
            </w:r>
          </w:p>
        </w:tc>
        <w:tc>
          <w:tcPr>
            <w:tcW w:w="741" w:type="pct"/>
            <w:tcBorders>
              <w:top w:val="single" w:sz="4" w:space="0" w:color="B8A567"/>
              <w:left w:val="nil"/>
              <w:bottom w:val="triple" w:sz="4" w:space="0" w:color="6B634B"/>
              <w:right w:val="single" w:sz="18" w:space="0" w:color="343631"/>
            </w:tcBorders>
            <w:shd w:val="clear" w:color="auto" w:fill="F2F2F2"/>
            <w:vAlign w:val="center"/>
          </w:tcPr>
          <w:p w14:paraId="57D537E8" w14:textId="708E1E25"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D6003F">
              <w:rPr>
                <w:rFonts w:ascii="DIN Next LT" w:eastAsia="DINNextLTPro-Regular" w:hAnsi="DIN Next LT" w:cs="DIN Next LT"/>
                <w:i/>
                <w:iCs/>
                <w:sz w:val="22"/>
                <w:szCs w:val="22"/>
              </w:rPr>
              <w:t>13</w:t>
            </w:r>
            <w:r>
              <w:rPr>
                <w:rFonts w:ascii="DIN Next LT" w:eastAsia="DINNextLTPro-Regular" w:hAnsi="DIN Next LT" w:cs="DIN Next LT"/>
                <w:i/>
                <w:iCs/>
                <w:sz w:val="22"/>
                <w:szCs w:val="22"/>
              </w:rPr>
              <w:t>)</w:t>
            </w:r>
            <w:r w:rsidR="00D6003F">
              <w:rPr>
                <w:rFonts w:ascii="DIN Next LT" w:eastAsia="DINNextLTPro-Regular" w:hAnsi="DIN Next LT" w:cs="DIN Next LT"/>
                <w:i/>
                <w:iCs/>
                <w:sz w:val="22"/>
                <w:szCs w:val="22"/>
              </w:rPr>
              <w:t>%</w:t>
            </w:r>
            <w:proofErr w:type="gramEnd"/>
          </w:p>
        </w:tc>
        <w:tc>
          <w:tcPr>
            <w:tcW w:w="741" w:type="pct"/>
            <w:tcBorders>
              <w:top w:val="single" w:sz="4" w:space="0" w:color="B8A567"/>
              <w:left w:val="single" w:sz="18" w:space="0" w:color="343631"/>
              <w:bottom w:val="triple" w:sz="4" w:space="0" w:color="6B634B"/>
              <w:right w:val="single" w:sz="4" w:space="0" w:color="A6A6A6"/>
            </w:tcBorders>
            <w:shd w:val="clear" w:color="auto" w:fill="F7F3E9"/>
            <w:vAlign w:val="center"/>
          </w:tcPr>
          <w:p w14:paraId="772B1C8A" w14:textId="527BCE74" w:rsidR="00062AE9" w:rsidRPr="005E27D5" w:rsidRDefault="00062AE9" w:rsidP="00522DF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2,040</w:t>
            </w:r>
          </w:p>
        </w:tc>
        <w:tc>
          <w:tcPr>
            <w:tcW w:w="741" w:type="pct"/>
            <w:tcBorders>
              <w:top w:val="single" w:sz="4" w:space="0" w:color="B8A567"/>
              <w:left w:val="nil"/>
              <w:bottom w:val="triple" w:sz="4" w:space="0" w:color="6B634B"/>
              <w:right w:val="nil"/>
            </w:tcBorders>
            <w:shd w:val="clear" w:color="auto" w:fill="F2F2F2"/>
            <w:vAlign w:val="center"/>
          </w:tcPr>
          <w:p w14:paraId="4BF2E234" w14:textId="11EE97B7" w:rsidR="00062AE9" w:rsidRPr="004C2BDA" w:rsidRDefault="00D82B77"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9%</w:t>
            </w:r>
          </w:p>
        </w:tc>
      </w:tr>
    </w:tbl>
    <w:p w14:paraId="257CCAB3" w14:textId="77777777" w:rsidR="004C58CA" w:rsidRDefault="004C58CA" w:rsidP="00DF75D6">
      <w:pPr>
        <w:rPr>
          <w:rFonts w:ascii="DIN Next LT" w:hAnsi="DIN Next LT" w:cs="DIN Next LT"/>
          <w:b/>
          <w:bCs/>
          <w:sz w:val="22"/>
          <w:szCs w:val="22"/>
        </w:rPr>
      </w:pPr>
    </w:p>
    <w:p w14:paraId="63AD9492" w14:textId="35269DB4" w:rsidR="00DF75D6" w:rsidRPr="004C2BDA" w:rsidRDefault="00DF75D6" w:rsidP="00DF75D6">
      <w:pPr>
        <w:rPr>
          <w:rFonts w:ascii="DIN Next LT" w:hAnsi="DIN Next LT" w:cs="DIN Next LT"/>
          <w:b/>
          <w:bCs/>
          <w:sz w:val="22"/>
          <w:szCs w:val="22"/>
        </w:rPr>
      </w:pPr>
      <w:r w:rsidRPr="004C2BDA">
        <w:rPr>
          <w:rFonts w:ascii="DIN Next LT" w:hAnsi="DIN Next LT" w:cs="DIN Next LT"/>
          <w:b/>
          <w:bCs/>
          <w:sz w:val="22"/>
          <w:szCs w:val="22"/>
        </w:rPr>
        <w:t>BASE METALS AND NEW MINERALS</w:t>
      </w:r>
    </w:p>
    <w:tbl>
      <w:tblPr>
        <w:tblW w:w="5149" w:type="pct"/>
        <w:tblLayout w:type="fixed"/>
        <w:tblLook w:val="04A0" w:firstRow="1" w:lastRow="0" w:firstColumn="1" w:lastColumn="0" w:noHBand="0" w:noVBand="1"/>
      </w:tblPr>
      <w:tblGrid>
        <w:gridCol w:w="2499"/>
        <w:gridCol w:w="1429"/>
        <w:gridCol w:w="1428"/>
        <w:gridCol w:w="1428"/>
        <w:gridCol w:w="1428"/>
        <w:gridCol w:w="1427"/>
      </w:tblGrid>
      <w:tr w:rsidR="00062AE9" w:rsidRPr="004C2BDA" w14:paraId="0A11ACD6" w14:textId="77777777" w:rsidTr="009D7333">
        <w:trPr>
          <w:trHeight w:val="136"/>
        </w:trPr>
        <w:tc>
          <w:tcPr>
            <w:tcW w:w="1296" w:type="pct"/>
            <w:tcBorders>
              <w:top w:val="nil"/>
              <w:left w:val="nil"/>
              <w:right w:val="nil"/>
            </w:tcBorders>
            <w:vAlign w:val="center"/>
          </w:tcPr>
          <w:p w14:paraId="15297EA8" w14:textId="77777777" w:rsidR="00062AE9" w:rsidRPr="004C2BDA" w:rsidRDefault="00062AE9" w:rsidP="005E27D5">
            <w:pPr>
              <w:spacing w:after="0" w:line="240" w:lineRule="auto"/>
              <w:rPr>
                <w:rFonts w:ascii="DIN Next LT" w:eastAsia="DINNextLTPro-Regular" w:hAnsi="DIN Next LT" w:cs="DIN Next LT"/>
                <w:b/>
                <w:bCs/>
                <w:sz w:val="22"/>
                <w:szCs w:val="22"/>
              </w:rPr>
            </w:pPr>
            <w:r w:rsidRPr="00300895">
              <w:rPr>
                <w:rFonts w:ascii="DIN Next LT" w:eastAsia="Times New Roman" w:hAnsi="DIN Next LT" w:cs="DIN Next LT"/>
                <w:b/>
                <w:bCs/>
                <w:color w:val="B8A567"/>
                <w:sz w:val="22"/>
                <w:szCs w:val="22"/>
              </w:rPr>
              <w:t>$</w:t>
            </w:r>
            <w:r w:rsidRPr="004C2BDA">
              <w:rPr>
                <w:rFonts w:ascii="DIN Next LT" w:eastAsia="Times New Roman" w:hAnsi="DIN Next LT" w:cs="DIN Next LT"/>
                <w:b/>
                <w:bCs/>
                <w:color w:val="B8A567"/>
                <w:sz w:val="22"/>
                <w:szCs w:val="22"/>
              </w:rPr>
              <w:t xml:space="preserve"> (million)</w:t>
            </w:r>
          </w:p>
        </w:tc>
        <w:tc>
          <w:tcPr>
            <w:tcW w:w="741" w:type="pct"/>
            <w:tcBorders>
              <w:top w:val="nil"/>
              <w:left w:val="nil"/>
              <w:bottom w:val="single" w:sz="8" w:space="0" w:color="343631"/>
              <w:right w:val="single" w:sz="4" w:space="0" w:color="BFBFBF"/>
            </w:tcBorders>
            <w:shd w:val="clear" w:color="auto" w:fill="F7F3E9"/>
            <w:vAlign w:val="center"/>
          </w:tcPr>
          <w:p w14:paraId="73ECAFCC" w14:textId="79C97A78" w:rsidR="00062AE9" w:rsidRPr="004C2BDA" w:rsidRDefault="00062AE9" w:rsidP="005E27D5">
            <w:pPr>
              <w:spacing w:after="0" w:line="240" w:lineRule="auto"/>
              <w:jc w:val="center"/>
              <w:rPr>
                <w:rFonts w:ascii="DIN Next LT" w:eastAsia="Times New Roman" w:hAnsi="DIN Next LT" w:cs="DIN Next LT"/>
                <w:b/>
                <w:bCs/>
                <w:color w:val="017C40"/>
                <w:sz w:val="22"/>
                <w:szCs w:val="22"/>
              </w:rPr>
            </w:pPr>
            <w:r w:rsidRPr="00BA56D3">
              <w:rPr>
                <w:rFonts w:ascii="DIN Next LT" w:eastAsia="Times New Roman" w:hAnsi="DIN Next LT" w:cs="DIN Next LT"/>
                <w:b/>
                <w:bCs/>
                <w:color w:val="B8A567"/>
                <w:sz w:val="22"/>
                <w:szCs w:val="22"/>
              </w:rPr>
              <w:t>Q</w:t>
            </w:r>
            <w:r>
              <w:rPr>
                <w:rFonts w:ascii="DIN Next LT" w:eastAsia="Times New Roman" w:hAnsi="DIN Next LT" w:cs="DIN Next LT"/>
                <w:b/>
                <w:bCs/>
                <w:color w:val="B8A567"/>
                <w:sz w:val="22"/>
                <w:szCs w:val="22"/>
              </w:rPr>
              <w:t>1</w:t>
            </w:r>
            <w:r w:rsidRPr="00BA56D3">
              <w:rPr>
                <w:rFonts w:ascii="DIN Next LT" w:eastAsia="Times New Roman" w:hAnsi="DIN Next LT" w:cs="DIN Next LT"/>
                <w:b/>
                <w:bCs/>
                <w:color w:val="B8A567"/>
                <w:sz w:val="22"/>
                <w:szCs w:val="22"/>
              </w:rPr>
              <w:t>-FY2</w:t>
            </w:r>
            <w:r>
              <w:rPr>
                <w:rFonts w:ascii="DIN Next LT" w:eastAsia="Times New Roman" w:hAnsi="DIN Next LT" w:cs="DIN Next LT"/>
                <w:b/>
                <w:bCs/>
                <w:color w:val="B8A567"/>
                <w:sz w:val="22"/>
                <w:szCs w:val="22"/>
              </w:rPr>
              <w:t>6</w:t>
            </w:r>
          </w:p>
        </w:tc>
        <w:tc>
          <w:tcPr>
            <w:tcW w:w="741" w:type="pct"/>
            <w:tcBorders>
              <w:top w:val="nil"/>
              <w:left w:val="nil"/>
              <w:bottom w:val="single" w:sz="8" w:space="0" w:color="343631"/>
              <w:right w:val="single" w:sz="4" w:space="0" w:color="BFBFBF"/>
            </w:tcBorders>
            <w:vAlign w:val="center"/>
          </w:tcPr>
          <w:p w14:paraId="5A210ADC" w14:textId="74784B44" w:rsidR="00062AE9" w:rsidRPr="004C2BDA" w:rsidRDefault="00062AE9" w:rsidP="005E27D5">
            <w:pPr>
              <w:spacing w:after="0" w:line="240" w:lineRule="auto"/>
              <w:jc w:val="center"/>
              <w:rPr>
                <w:rFonts w:ascii="DIN Next LT" w:eastAsia="Times New Roman" w:hAnsi="DIN Next LT" w:cs="DIN Next LT"/>
                <w:color w:val="B8A567"/>
                <w:sz w:val="22"/>
                <w:szCs w:val="22"/>
              </w:rPr>
            </w:pPr>
            <w:r w:rsidRPr="00BA56D3">
              <w:rPr>
                <w:rFonts w:ascii="DIN Next LT" w:eastAsia="Times New Roman" w:hAnsi="DIN Next LT" w:cs="DIN Next LT"/>
                <w:color w:val="B8A567"/>
                <w:sz w:val="22"/>
                <w:szCs w:val="22"/>
              </w:rPr>
              <w:t>Q</w:t>
            </w:r>
            <w:r>
              <w:rPr>
                <w:rFonts w:ascii="DIN Next LT" w:eastAsia="Times New Roman" w:hAnsi="DIN Next LT" w:cs="DIN Next LT"/>
                <w:color w:val="B8A567"/>
                <w:sz w:val="22"/>
                <w:szCs w:val="22"/>
              </w:rPr>
              <w:t>1</w:t>
            </w:r>
            <w:r w:rsidRPr="00BA56D3">
              <w:rPr>
                <w:rFonts w:ascii="DIN Next LT" w:eastAsia="Times New Roman" w:hAnsi="DIN Next LT" w:cs="DIN Next LT"/>
                <w:color w:val="B8A567"/>
                <w:sz w:val="22"/>
                <w:szCs w:val="22"/>
              </w:rPr>
              <w:t>-FY2</w:t>
            </w:r>
            <w:r>
              <w:rPr>
                <w:rFonts w:ascii="DIN Next LT" w:eastAsia="Times New Roman" w:hAnsi="DIN Next LT" w:cs="DIN Next LT"/>
                <w:color w:val="B8A567"/>
                <w:sz w:val="22"/>
                <w:szCs w:val="22"/>
              </w:rPr>
              <w:t>5</w:t>
            </w:r>
          </w:p>
        </w:tc>
        <w:tc>
          <w:tcPr>
            <w:tcW w:w="741" w:type="pct"/>
            <w:tcBorders>
              <w:top w:val="nil"/>
              <w:left w:val="nil"/>
              <w:bottom w:val="single" w:sz="8" w:space="0" w:color="343631"/>
              <w:right w:val="single" w:sz="18" w:space="0" w:color="343631"/>
            </w:tcBorders>
            <w:shd w:val="clear" w:color="auto" w:fill="F2F2F2"/>
            <w:vAlign w:val="center"/>
          </w:tcPr>
          <w:p w14:paraId="40AA8D89" w14:textId="18072634" w:rsidR="00062AE9" w:rsidRPr="004C2BDA" w:rsidRDefault="00062AE9" w:rsidP="005E27D5">
            <w:pPr>
              <w:spacing w:after="0" w:line="240" w:lineRule="auto"/>
              <w:jc w:val="center"/>
              <w:rPr>
                <w:rFonts w:ascii="DIN Next LT" w:eastAsia="Times New Roman" w:hAnsi="DIN Next LT" w:cs="DIN Next LT"/>
                <w:i/>
                <w:iCs/>
                <w:color w:val="B8A567"/>
                <w:sz w:val="22"/>
                <w:szCs w:val="22"/>
              </w:rPr>
            </w:pPr>
            <w:r w:rsidRPr="00BA56D3">
              <w:rPr>
                <w:rFonts w:ascii="DIN Next LT" w:eastAsia="Times New Roman" w:hAnsi="DIN Next LT" w:cs="DIN Next LT"/>
                <w:i/>
                <w:iCs/>
                <w:color w:val="B8A567"/>
                <w:sz w:val="22"/>
                <w:szCs w:val="22"/>
              </w:rPr>
              <w:t>Variance</w:t>
            </w:r>
          </w:p>
        </w:tc>
        <w:tc>
          <w:tcPr>
            <w:tcW w:w="741" w:type="pct"/>
            <w:tcBorders>
              <w:top w:val="nil"/>
              <w:left w:val="single" w:sz="18" w:space="0" w:color="343631"/>
              <w:bottom w:val="single" w:sz="8" w:space="0" w:color="343631"/>
              <w:right w:val="single" w:sz="4" w:space="0" w:color="A6A6A6"/>
            </w:tcBorders>
            <w:shd w:val="clear" w:color="auto" w:fill="F7F3E9"/>
            <w:vAlign w:val="center"/>
          </w:tcPr>
          <w:p w14:paraId="4F3BB25E" w14:textId="3289EDAC" w:rsidR="00062AE9" w:rsidRPr="004C2BDA" w:rsidRDefault="00062AE9" w:rsidP="0072131C">
            <w:pPr>
              <w:spacing w:after="0" w:line="240" w:lineRule="auto"/>
              <w:jc w:val="center"/>
              <w:rPr>
                <w:rFonts w:ascii="DIN Next LT" w:eastAsia="Times New Roman" w:hAnsi="DIN Next LT" w:cs="DIN Next LT"/>
                <w:color w:val="B8A567"/>
                <w:sz w:val="22"/>
                <w:szCs w:val="22"/>
              </w:rPr>
            </w:pPr>
            <w:r>
              <w:rPr>
                <w:rFonts w:ascii="DIN Next LT" w:eastAsia="Times New Roman" w:hAnsi="DIN Next LT" w:cs="DIN Next LT"/>
                <w:color w:val="B8A567"/>
                <w:sz w:val="22"/>
                <w:szCs w:val="22"/>
              </w:rPr>
              <w:t>Q4-</w:t>
            </w:r>
            <w:r w:rsidRPr="00BA56D3">
              <w:rPr>
                <w:rFonts w:ascii="DIN Next LT" w:eastAsia="Times New Roman" w:hAnsi="DIN Next LT" w:cs="DIN Next LT"/>
                <w:color w:val="B8A567"/>
                <w:sz w:val="22"/>
                <w:szCs w:val="22"/>
              </w:rPr>
              <w:t>FY</w:t>
            </w:r>
            <w:r>
              <w:rPr>
                <w:rFonts w:ascii="DIN Next LT" w:eastAsia="Times New Roman" w:hAnsi="DIN Next LT" w:cs="DIN Next LT"/>
                <w:color w:val="B8A567"/>
                <w:sz w:val="22"/>
                <w:szCs w:val="22"/>
              </w:rPr>
              <w:t>25</w:t>
            </w:r>
          </w:p>
        </w:tc>
        <w:tc>
          <w:tcPr>
            <w:tcW w:w="740" w:type="pct"/>
            <w:tcBorders>
              <w:top w:val="nil"/>
              <w:left w:val="nil"/>
              <w:bottom w:val="single" w:sz="8" w:space="0" w:color="343631"/>
              <w:right w:val="nil"/>
            </w:tcBorders>
            <w:shd w:val="clear" w:color="auto" w:fill="F2F2F2"/>
            <w:vAlign w:val="center"/>
          </w:tcPr>
          <w:p w14:paraId="40369C29" w14:textId="2640780D" w:rsidR="00062AE9" w:rsidRPr="004C2BDA" w:rsidRDefault="00062AE9" w:rsidP="005E27D5">
            <w:pPr>
              <w:spacing w:after="0" w:line="240" w:lineRule="auto"/>
              <w:jc w:val="center"/>
              <w:rPr>
                <w:rFonts w:ascii="DIN Next LT" w:eastAsia="Times New Roman" w:hAnsi="DIN Next LT" w:cs="DIN Next LT"/>
                <w:i/>
                <w:iCs/>
                <w:color w:val="B8A567"/>
                <w:sz w:val="22"/>
                <w:szCs w:val="22"/>
              </w:rPr>
            </w:pPr>
            <w:r w:rsidRPr="00BA56D3">
              <w:rPr>
                <w:rFonts w:ascii="DIN Next LT" w:eastAsia="Times New Roman" w:hAnsi="DIN Next LT" w:cs="DIN Next LT"/>
                <w:i/>
                <w:iCs/>
                <w:color w:val="B8A567"/>
                <w:sz w:val="22"/>
                <w:szCs w:val="22"/>
              </w:rPr>
              <w:t>Variance</w:t>
            </w:r>
          </w:p>
        </w:tc>
      </w:tr>
      <w:tr w:rsidR="00062AE9" w:rsidRPr="004C2BDA" w14:paraId="74BAE6FF" w14:textId="77777777" w:rsidTr="009D7333">
        <w:trPr>
          <w:trHeight w:val="144"/>
        </w:trPr>
        <w:tc>
          <w:tcPr>
            <w:tcW w:w="1296" w:type="pct"/>
            <w:tcBorders>
              <w:top w:val="nil"/>
              <w:left w:val="nil"/>
              <w:right w:val="nil"/>
            </w:tcBorders>
            <w:vAlign w:val="center"/>
          </w:tcPr>
          <w:p w14:paraId="63203C59" w14:textId="436BD849" w:rsidR="00062AE9" w:rsidRPr="004C2BDA" w:rsidRDefault="008D2D82" w:rsidP="00522DFC">
            <w:pPr>
              <w:spacing w:after="0" w:line="240" w:lineRule="auto"/>
              <w:rPr>
                <w:rFonts w:ascii="DIN Next LT" w:eastAsia="DINNextLTPro-Regular" w:hAnsi="DIN Next LT" w:cs="DIN Next LT"/>
                <w:b/>
                <w:bCs/>
                <w:sz w:val="22"/>
                <w:szCs w:val="22"/>
              </w:rPr>
            </w:pPr>
            <w:r>
              <w:rPr>
                <w:rFonts w:ascii="DIN Next LT" w:eastAsia="DINNextLTPro-Regular" w:hAnsi="DIN Next LT" w:cs="DIN Next LT"/>
                <w:b/>
                <w:bCs/>
                <w:sz w:val="22"/>
                <w:szCs w:val="22"/>
              </w:rPr>
              <w:t>Revenue</w:t>
            </w:r>
          </w:p>
        </w:tc>
        <w:tc>
          <w:tcPr>
            <w:tcW w:w="741" w:type="pct"/>
            <w:tcBorders>
              <w:top w:val="single" w:sz="8" w:space="0" w:color="343631"/>
              <w:left w:val="nil"/>
              <w:bottom w:val="single" w:sz="8" w:space="0" w:color="B8A567"/>
              <w:right w:val="single" w:sz="4" w:space="0" w:color="BFBFBF"/>
            </w:tcBorders>
            <w:shd w:val="clear" w:color="auto" w:fill="F7F3E9"/>
            <w:vAlign w:val="center"/>
          </w:tcPr>
          <w:p w14:paraId="66B7FB6B" w14:textId="1776F20E"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503</w:t>
            </w:r>
          </w:p>
        </w:tc>
        <w:tc>
          <w:tcPr>
            <w:tcW w:w="741" w:type="pct"/>
            <w:tcBorders>
              <w:top w:val="single" w:sz="8" w:space="0" w:color="343631"/>
              <w:left w:val="nil"/>
              <w:bottom w:val="single" w:sz="8" w:space="0" w:color="B8A567"/>
              <w:right w:val="single" w:sz="4" w:space="0" w:color="BFBFBF"/>
            </w:tcBorders>
            <w:vAlign w:val="center"/>
          </w:tcPr>
          <w:p w14:paraId="3B3536F3" w14:textId="1B5538C5" w:rsidR="00062AE9" w:rsidRPr="004C2BDA" w:rsidRDefault="00D82B77"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317</w:t>
            </w:r>
          </w:p>
        </w:tc>
        <w:tc>
          <w:tcPr>
            <w:tcW w:w="741" w:type="pct"/>
            <w:tcBorders>
              <w:top w:val="single" w:sz="8" w:space="0" w:color="343631"/>
              <w:left w:val="nil"/>
              <w:bottom w:val="single" w:sz="8" w:space="0" w:color="B8A567"/>
              <w:right w:val="single" w:sz="18" w:space="0" w:color="343631"/>
            </w:tcBorders>
            <w:shd w:val="clear" w:color="auto" w:fill="F2F2F2"/>
            <w:vAlign w:val="center"/>
          </w:tcPr>
          <w:p w14:paraId="0389E485" w14:textId="17275446" w:rsidR="00062AE9" w:rsidRPr="004C2BDA" w:rsidRDefault="00062AE9"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59%</w:t>
            </w:r>
          </w:p>
        </w:tc>
        <w:tc>
          <w:tcPr>
            <w:tcW w:w="741" w:type="pct"/>
            <w:tcBorders>
              <w:top w:val="single" w:sz="8" w:space="0" w:color="343631"/>
              <w:left w:val="single" w:sz="18" w:space="0" w:color="343631"/>
              <w:bottom w:val="single" w:sz="8" w:space="0" w:color="B8A567"/>
              <w:right w:val="single" w:sz="4" w:space="0" w:color="A6A6A6"/>
            </w:tcBorders>
            <w:shd w:val="clear" w:color="auto" w:fill="F7F3E9"/>
            <w:vAlign w:val="center"/>
          </w:tcPr>
          <w:p w14:paraId="7C3678ED" w14:textId="5E650D9D"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hAnsi="DIN Next LT" w:cs="DIN Next LT"/>
                <w:color w:val="000000"/>
                <w:sz w:val="22"/>
                <w:szCs w:val="22"/>
              </w:rPr>
              <w:t>571</w:t>
            </w:r>
          </w:p>
        </w:tc>
        <w:tc>
          <w:tcPr>
            <w:tcW w:w="740" w:type="pct"/>
            <w:tcBorders>
              <w:top w:val="single" w:sz="8" w:space="0" w:color="343631"/>
              <w:left w:val="nil"/>
              <w:bottom w:val="single" w:sz="8" w:space="0" w:color="B8A567"/>
              <w:right w:val="nil"/>
            </w:tcBorders>
            <w:shd w:val="clear" w:color="auto" w:fill="F2F2F2"/>
            <w:vAlign w:val="center"/>
          </w:tcPr>
          <w:p w14:paraId="50CA1CAD" w14:textId="5AD8CB62"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12</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646BAD29" w14:textId="77777777" w:rsidTr="009D7333">
        <w:trPr>
          <w:trHeight w:val="144"/>
        </w:trPr>
        <w:tc>
          <w:tcPr>
            <w:tcW w:w="1296" w:type="pct"/>
            <w:tcBorders>
              <w:top w:val="nil"/>
              <w:left w:val="nil"/>
              <w:right w:val="nil"/>
            </w:tcBorders>
            <w:vAlign w:val="center"/>
          </w:tcPr>
          <w:p w14:paraId="413CAFC9"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EBITDA </w:t>
            </w:r>
          </w:p>
        </w:tc>
        <w:tc>
          <w:tcPr>
            <w:tcW w:w="741" w:type="pct"/>
            <w:tcBorders>
              <w:top w:val="single" w:sz="8" w:space="0" w:color="B8A567"/>
              <w:left w:val="nil"/>
              <w:bottom w:val="single" w:sz="8" w:space="0" w:color="B8A567"/>
              <w:right w:val="single" w:sz="4" w:space="0" w:color="BFBFBF"/>
            </w:tcBorders>
            <w:shd w:val="clear" w:color="auto" w:fill="F7F3E9"/>
            <w:vAlign w:val="center"/>
          </w:tcPr>
          <w:p w14:paraId="50308244" w14:textId="07B6D094" w:rsidR="00062AE9" w:rsidRPr="004C2BDA" w:rsidRDefault="007F3A22"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381</w:t>
            </w:r>
          </w:p>
        </w:tc>
        <w:tc>
          <w:tcPr>
            <w:tcW w:w="741" w:type="pct"/>
            <w:tcBorders>
              <w:top w:val="single" w:sz="8" w:space="0" w:color="B8A567"/>
              <w:left w:val="nil"/>
              <w:bottom w:val="single" w:sz="8" w:space="0" w:color="B8A567"/>
              <w:right w:val="single" w:sz="4" w:space="0" w:color="BFBFBF"/>
            </w:tcBorders>
            <w:vAlign w:val="center"/>
          </w:tcPr>
          <w:p w14:paraId="70025925" w14:textId="7703C2DF"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215</w:t>
            </w:r>
          </w:p>
        </w:tc>
        <w:tc>
          <w:tcPr>
            <w:tcW w:w="741" w:type="pct"/>
            <w:tcBorders>
              <w:top w:val="single" w:sz="8" w:space="0" w:color="B8A567"/>
              <w:left w:val="nil"/>
              <w:bottom w:val="single" w:sz="8" w:space="0" w:color="B8A567"/>
              <w:right w:val="single" w:sz="18" w:space="0" w:color="343631"/>
            </w:tcBorders>
            <w:shd w:val="clear" w:color="auto" w:fill="F2F2F2"/>
            <w:vAlign w:val="center"/>
          </w:tcPr>
          <w:p w14:paraId="2522D69B" w14:textId="49FF5328" w:rsidR="00062AE9" w:rsidRPr="004C2BDA" w:rsidRDefault="007F3A22"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77</w:t>
            </w:r>
            <w:r w:rsidR="00062AE9">
              <w:rPr>
                <w:rFonts w:ascii="DIN Next LT" w:eastAsia="DINNextLTPro-Regular" w:hAnsi="DIN Next LT" w:cs="DIN Next LT"/>
                <w:i/>
                <w:iCs/>
                <w:sz w:val="22"/>
                <w:szCs w:val="22"/>
              </w:rPr>
              <w:t>%</w:t>
            </w:r>
          </w:p>
        </w:tc>
        <w:tc>
          <w:tcPr>
            <w:tcW w:w="741" w:type="pct"/>
            <w:tcBorders>
              <w:top w:val="single" w:sz="8" w:space="0" w:color="B8A567"/>
              <w:left w:val="single" w:sz="18" w:space="0" w:color="343631"/>
              <w:bottom w:val="single" w:sz="8" w:space="0" w:color="B8A567"/>
              <w:right w:val="single" w:sz="4" w:space="0" w:color="A6A6A6"/>
            </w:tcBorders>
            <w:shd w:val="clear" w:color="auto" w:fill="F7F3E9"/>
            <w:vAlign w:val="center"/>
          </w:tcPr>
          <w:p w14:paraId="595331F2" w14:textId="4D8BD25D"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hAnsi="DIN Next LT" w:cs="DIN Next LT"/>
                <w:color w:val="000000"/>
                <w:sz w:val="22"/>
                <w:szCs w:val="22"/>
              </w:rPr>
              <w:t>405</w:t>
            </w:r>
          </w:p>
        </w:tc>
        <w:tc>
          <w:tcPr>
            <w:tcW w:w="740" w:type="pct"/>
            <w:tcBorders>
              <w:top w:val="single" w:sz="8" w:space="0" w:color="B8A567"/>
              <w:left w:val="nil"/>
              <w:bottom w:val="single" w:sz="8" w:space="0" w:color="B8A567"/>
              <w:right w:val="nil"/>
            </w:tcBorders>
            <w:shd w:val="clear" w:color="auto" w:fill="F2F2F2"/>
            <w:vAlign w:val="center"/>
          </w:tcPr>
          <w:p w14:paraId="67AFF58A" w14:textId="6325F63A"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7F3A22">
              <w:rPr>
                <w:rFonts w:ascii="DIN Next LT" w:eastAsia="DINNextLTPro-Regular" w:hAnsi="DIN Next LT" w:cs="DIN Next LT"/>
                <w:i/>
                <w:iCs/>
                <w:sz w:val="22"/>
                <w:szCs w:val="22"/>
              </w:rPr>
              <w:t>6</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062AE9" w:rsidRPr="004C2BDA" w14:paraId="0E149160" w14:textId="77777777" w:rsidTr="009D7333">
        <w:trPr>
          <w:trHeight w:val="144"/>
        </w:trPr>
        <w:tc>
          <w:tcPr>
            <w:tcW w:w="1296" w:type="pct"/>
            <w:tcBorders>
              <w:left w:val="nil"/>
              <w:bottom w:val="triple" w:sz="4" w:space="0" w:color="6B634B"/>
              <w:right w:val="nil"/>
            </w:tcBorders>
            <w:vAlign w:val="center"/>
          </w:tcPr>
          <w:p w14:paraId="11DEEBAB" w14:textId="77777777" w:rsidR="00062AE9" w:rsidRPr="004C2BDA" w:rsidRDefault="00062AE9" w:rsidP="00522DFC">
            <w:pPr>
              <w:spacing w:after="0" w:line="240" w:lineRule="auto"/>
              <w:rPr>
                <w:rFonts w:ascii="DIN Next LT" w:eastAsia="DINNextLTPro-Regular" w:hAnsi="DIN Next LT" w:cs="DIN Next LT"/>
                <w:i/>
                <w:iCs/>
                <w:sz w:val="22"/>
                <w:szCs w:val="22"/>
              </w:rPr>
            </w:pPr>
            <w:r w:rsidRPr="004C2BDA">
              <w:rPr>
                <w:rFonts w:ascii="DIN Next LT" w:eastAsia="DINNextLTPro-Regular" w:hAnsi="DIN Next LT" w:cs="DIN Next LT"/>
                <w:i/>
                <w:iCs/>
                <w:sz w:val="22"/>
                <w:szCs w:val="22"/>
              </w:rPr>
              <w:t>EBITDA margin</w:t>
            </w:r>
          </w:p>
        </w:tc>
        <w:tc>
          <w:tcPr>
            <w:tcW w:w="741" w:type="pct"/>
            <w:tcBorders>
              <w:top w:val="single" w:sz="8" w:space="0" w:color="B8A567"/>
              <w:left w:val="nil"/>
              <w:bottom w:val="triple" w:sz="4" w:space="0" w:color="6B634B"/>
              <w:right w:val="single" w:sz="4" w:space="0" w:color="BFBFBF"/>
            </w:tcBorders>
            <w:shd w:val="clear" w:color="auto" w:fill="F7F3E9"/>
            <w:vAlign w:val="center"/>
          </w:tcPr>
          <w:p w14:paraId="3003B692" w14:textId="7BE0D97D" w:rsidR="00062AE9" w:rsidRPr="004C2BDA" w:rsidRDefault="00D1766B"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76</w:t>
            </w:r>
            <w:r w:rsidR="00062AE9">
              <w:rPr>
                <w:rFonts w:ascii="DIN Next LT" w:eastAsia="DINNextLTPro-Regular" w:hAnsi="DIN Next LT" w:cs="DIN Next LT"/>
                <w:b/>
                <w:bCs/>
                <w:sz w:val="22"/>
                <w:szCs w:val="22"/>
              </w:rPr>
              <w:t>%</w:t>
            </w:r>
          </w:p>
        </w:tc>
        <w:tc>
          <w:tcPr>
            <w:tcW w:w="741" w:type="pct"/>
            <w:tcBorders>
              <w:top w:val="single" w:sz="8" w:space="0" w:color="B8A567"/>
              <w:left w:val="nil"/>
              <w:bottom w:val="triple" w:sz="4" w:space="0" w:color="6B634B"/>
              <w:right w:val="single" w:sz="4" w:space="0" w:color="BFBFBF"/>
            </w:tcBorders>
            <w:vAlign w:val="center"/>
          </w:tcPr>
          <w:p w14:paraId="197FC267" w14:textId="69C7F70B" w:rsidR="00062AE9" w:rsidRPr="004C2BDA" w:rsidRDefault="00062AE9" w:rsidP="00522DFC">
            <w:pPr>
              <w:spacing w:after="0" w:line="240" w:lineRule="auto"/>
              <w:jc w:val="right"/>
              <w:rPr>
                <w:rFonts w:ascii="DIN Next LT" w:eastAsia="DINNextLTPro-Regular" w:hAnsi="DIN Next LT" w:cs="DIN Next LT"/>
                <w:sz w:val="22"/>
                <w:szCs w:val="22"/>
              </w:rPr>
            </w:pPr>
            <w:r w:rsidRPr="004C2BDA">
              <w:rPr>
                <w:rFonts w:ascii="DIN Next LT" w:eastAsia="DINNextLTPro-Regular" w:hAnsi="DIN Next LT" w:cs="DIN Next LT"/>
                <w:sz w:val="22"/>
                <w:szCs w:val="22"/>
              </w:rPr>
              <w:t>6</w:t>
            </w:r>
            <w:r>
              <w:rPr>
                <w:rFonts w:ascii="DIN Next LT" w:eastAsia="DINNextLTPro-Regular" w:hAnsi="DIN Next LT" w:cs="DIN Next LT"/>
                <w:sz w:val="22"/>
                <w:szCs w:val="22"/>
              </w:rPr>
              <w:t>8</w:t>
            </w:r>
            <w:r w:rsidRPr="004C2BDA">
              <w:rPr>
                <w:rFonts w:ascii="DIN Next LT" w:eastAsia="DINNextLTPro-Regular" w:hAnsi="DIN Next LT" w:cs="DIN Next LT"/>
                <w:sz w:val="22"/>
                <w:szCs w:val="22"/>
              </w:rPr>
              <w:t>%</w:t>
            </w:r>
          </w:p>
        </w:tc>
        <w:tc>
          <w:tcPr>
            <w:tcW w:w="741" w:type="pct"/>
            <w:tcBorders>
              <w:top w:val="single" w:sz="8" w:space="0" w:color="B8A567"/>
              <w:left w:val="nil"/>
              <w:bottom w:val="triple" w:sz="4" w:space="0" w:color="6B634B"/>
              <w:right w:val="single" w:sz="18" w:space="0" w:color="343631"/>
            </w:tcBorders>
            <w:shd w:val="clear" w:color="auto" w:fill="F2F2F2"/>
            <w:vAlign w:val="center"/>
          </w:tcPr>
          <w:p w14:paraId="5551A835" w14:textId="426400F6" w:rsidR="00062AE9" w:rsidRPr="004C2BDA" w:rsidRDefault="007F3A22"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8pp</w:t>
            </w:r>
          </w:p>
        </w:tc>
        <w:tc>
          <w:tcPr>
            <w:tcW w:w="741" w:type="pct"/>
            <w:tcBorders>
              <w:top w:val="single" w:sz="8" w:space="0" w:color="B8A567"/>
              <w:left w:val="single" w:sz="18" w:space="0" w:color="343631"/>
              <w:bottom w:val="triple" w:sz="4" w:space="0" w:color="6B634B"/>
              <w:right w:val="single" w:sz="4" w:space="0" w:color="A6A6A6"/>
            </w:tcBorders>
            <w:shd w:val="clear" w:color="auto" w:fill="F7F3E9"/>
            <w:vAlign w:val="center"/>
          </w:tcPr>
          <w:p w14:paraId="2721432B" w14:textId="2C1B26E1"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71%</w:t>
            </w:r>
          </w:p>
        </w:tc>
        <w:tc>
          <w:tcPr>
            <w:tcW w:w="740" w:type="pct"/>
            <w:tcBorders>
              <w:top w:val="single" w:sz="8" w:space="0" w:color="B8A567"/>
              <w:left w:val="nil"/>
              <w:bottom w:val="triple" w:sz="4" w:space="0" w:color="6B634B"/>
              <w:right w:val="nil"/>
            </w:tcBorders>
            <w:shd w:val="clear" w:color="auto" w:fill="F2F2F2"/>
            <w:vAlign w:val="center"/>
          </w:tcPr>
          <w:p w14:paraId="421A82B1" w14:textId="1185BACE" w:rsidR="00062AE9" w:rsidRPr="004C2BDA" w:rsidRDefault="00F768EE"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5pp</w:t>
            </w:r>
          </w:p>
        </w:tc>
      </w:tr>
      <w:tr w:rsidR="00522DFC" w:rsidRPr="004C2BDA" w14:paraId="687BC1EE" w14:textId="77777777" w:rsidTr="008F10DC">
        <w:trPr>
          <w:trHeight w:val="136"/>
        </w:trPr>
        <w:tc>
          <w:tcPr>
            <w:tcW w:w="5000" w:type="pct"/>
            <w:gridSpan w:val="6"/>
            <w:tcBorders>
              <w:top w:val="triple" w:sz="4" w:space="0" w:color="6B634B"/>
              <w:left w:val="nil"/>
            </w:tcBorders>
            <w:vAlign w:val="center"/>
          </w:tcPr>
          <w:p w14:paraId="4619D7E2" w14:textId="0355C791" w:rsidR="00522DFC" w:rsidRPr="004C2BDA" w:rsidRDefault="00522DFC" w:rsidP="00522DFC">
            <w:pPr>
              <w:spacing w:after="0" w:line="240" w:lineRule="auto"/>
              <w:rPr>
                <w:rFonts w:ascii="DIN Next LT" w:eastAsia="DINNextLTPro-Regular" w:hAnsi="DIN Next LT" w:cs="DIN Next LT"/>
                <w:i/>
                <w:iCs/>
                <w:sz w:val="22"/>
                <w:szCs w:val="22"/>
              </w:rPr>
            </w:pPr>
            <w:r w:rsidRPr="004C2BDA">
              <w:rPr>
                <w:rFonts w:ascii="DIN Next LT" w:eastAsia="Times New Roman" w:hAnsi="DIN Next LT" w:cs="DIN Next LT"/>
                <w:b/>
                <w:bCs/>
                <w:color w:val="B8A567"/>
                <w:sz w:val="22"/>
                <w:szCs w:val="22"/>
              </w:rPr>
              <w:t xml:space="preserve">Production (Gold </w:t>
            </w:r>
            <w:proofErr w:type="spellStart"/>
            <w:r w:rsidRPr="004C2BDA">
              <w:rPr>
                <w:rFonts w:ascii="DIN Next LT" w:eastAsia="Times New Roman" w:hAnsi="DIN Next LT" w:cs="DIN Next LT"/>
                <w:b/>
                <w:bCs/>
                <w:color w:val="B8A567"/>
                <w:sz w:val="22"/>
                <w:szCs w:val="22"/>
              </w:rPr>
              <w:t>koz</w:t>
            </w:r>
            <w:proofErr w:type="spellEnd"/>
            <w:r w:rsidRPr="004C2BDA">
              <w:rPr>
                <w:rFonts w:ascii="DIN Next LT" w:eastAsia="Times New Roman" w:hAnsi="DIN Next LT" w:cs="DIN Next LT"/>
                <w:b/>
                <w:bCs/>
                <w:color w:val="B8A567"/>
                <w:sz w:val="22"/>
                <w:szCs w:val="22"/>
              </w:rPr>
              <w:t>)</w:t>
            </w:r>
          </w:p>
        </w:tc>
      </w:tr>
      <w:tr w:rsidR="00062AE9" w:rsidRPr="004C2BDA" w14:paraId="0DFBBBC6" w14:textId="77777777" w:rsidTr="009D7333">
        <w:trPr>
          <w:trHeight w:val="144"/>
        </w:trPr>
        <w:tc>
          <w:tcPr>
            <w:tcW w:w="1296" w:type="pct"/>
            <w:tcBorders>
              <w:top w:val="nil"/>
              <w:left w:val="nil"/>
              <w:bottom w:val="triple" w:sz="4" w:space="0" w:color="6B634B"/>
              <w:right w:val="nil"/>
            </w:tcBorders>
            <w:vAlign w:val="center"/>
          </w:tcPr>
          <w:p w14:paraId="46FE4785" w14:textId="77777777" w:rsidR="00062AE9" w:rsidRPr="004C2BDA" w:rsidRDefault="00062AE9" w:rsidP="00522DFC">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 xml:space="preserve">Total </w:t>
            </w:r>
          </w:p>
        </w:tc>
        <w:tc>
          <w:tcPr>
            <w:tcW w:w="741" w:type="pct"/>
            <w:tcBorders>
              <w:top w:val="single" w:sz="4" w:space="0" w:color="B8A567"/>
              <w:left w:val="nil"/>
              <w:bottom w:val="triple" w:sz="4" w:space="0" w:color="6B634B"/>
              <w:right w:val="single" w:sz="4" w:space="0" w:color="BFBFBF"/>
            </w:tcBorders>
            <w:shd w:val="clear" w:color="auto" w:fill="F7F3E9"/>
            <w:vAlign w:val="center"/>
          </w:tcPr>
          <w:p w14:paraId="240A9D1F" w14:textId="4969B53E" w:rsidR="00062AE9" w:rsidRPr="004C2BDA" w:rsidRDefault="00062AE9" w:rsidP="00522DFC">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105</w:t>
            </w:r>
          </w:p>
        </w:tc>
        <w:tc>
          <w:tcPr>
            <w:tcW w:w="741" w:type="pct"/>
            <w:tcBorders>
              <w:top w:val="single" w:sz="4" w:space="0" w:color="B8A567"/>
              <w:left w:val="nil"/>
              <w:bottom w:val="triple" w:sz="4" w:space="0" w:color="6B634B"/>
              <w:right w:val="single" w:sz="4" w:space="0" w:color="BFBFBF"/>
            </w:tcBorders>
            <w:vAlign w:val="center"/>
          </w:tcPr>
          <w:p w14:paraId="463A8601" w14:textId="77D29F00" w:rsidR="00062AE9" w:rsidRPr="004C2BDA" w:rsidRDefault="00062AE9" w:rsidP="00522DFC">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123</w:t>
            </w:r>
          </w:p>
        </w:tc>
        <w:tc>
          <w:tcPr>
            <w:tcW w:w="741" w:type="pct"/>
            <w:tcBorders>
              <w:top w:val="single" w:sz="4" w:space="0" w:color="B8A567"/>
              <w:left w:val="nil"/>
              <w:bottom w:val="triple" w:sz="4" w:space="0" w:color="6B634B"/>
              <w:right w:val="single" w:sz="18" w:space="0" w:color="343631"/>
            </w:tcBorders>
            <w:shd w:val="clear" w:color="auto" w:fill="F2F2F2"/>
            <w:vAlign w:val="center"/>
          </w:tcPr>
          <w:p w14:paraId="4E33A2BD" w14:textId="525C37B8"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F768EE">
              <w:rPr>
                <w:rFonts w:ascii="DIN Next LT" w:eastAsia="DINNextLTPro-Regular" w:hAnsi="DIN Next LT" w:cs="DIN Next LT"/>
                <w:i/>
                <w:iCs/>
                <w:sz w:val="22"/>
                <w:szCs w:val="22"/>
              </w:rPr>
              <w:t>15</w:t>
            </w:r>
            <w:r>
              <w:rPr>
                <w:rFonts w:ascii="DIN Next LT" w:eastAsia="DINNextLTPro-Regular" w:hAnsi="DIN Next LT" w:cs="DIN Next LT"/>
                <w:i/>
                <w:iCs/>
                <w:sz w:val="22"/>
                <w:szCs w:val="22"/>
              </w:rPr>
              <w:t>)</w:t>
            </w:r>
            <w:r w:rsidR="00062AE9" w:rsidRPr="004C2BDA">
              <w:rPr>
                <w:rFonts w:ascii="DIN Next LT" w:eastAsia="DINNextLTPro-Regular" w:hAnsi="DIN Next LT" w:cs="DIN Next LT"/>
                <w:i/>
                <w:iCs/>
                <w:sz w:val="22"/>
                <w:szCs w:val="22"/>
              </w:rPr>
              <w:t>%</w:t>
            </w:r>
            <w:proofErr w:type="gramEnd"/>
          </w:p>
        </w:tc>
        <w:tc>
          <w:tcPr>
            <w:tcW w:w="741" w:type="pct"/>
            <w:tcBorders>
              <w:top w:val="single" w:sz="4" w:space="0" w:color="B8A567"/>
              <w:left w:val="single" w:sz="18" w:space="0" w:color="343631"/>
              <w:bottom w:val="triple" w:sz="4" w:space="0" w:color="6B634B"/>
              <w:right w:val="single" w:sz="4" w:space="0" w:color="A6A6A6"/>
            </w:tcBorders>
            <w:shd w:val="clear" w:color="auto" w:fill="F7F3E9"/>
            <w:vAlign w:val="center"/>
          </w:tcPr>
          <w:p w14:paraId="78BB6E6D" w14:textId="0A94AE57"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133</w:t>
            </w:r>
          </w:p>
        </w:tc>
        <w:tc>
          <w:tcPr>
            <w:tcW w:w="740" w:type="pct"/>
            <w:tcBorders>
              <w:top w:val="single" w:sz="4" w:space="0" w:color="B8A567"/>
              <w:left w:val="nil"/>
              <w:bottom w:val="triple" w:sz="4" w:space="0" w:color="6B634B"/>
              <w:right w:val="nil"/>
            </w:tcBorders>
            <w:shd w:val="clear" w:color="auto" w:fill="F2F2F2"/>
            <w:vAlign w:val="center"/>
          </w:tcPr>
          <w:p w14:paraId="49885398" w14:textId="36D2613D" w:rsidR="00062AE9" w:rsidRPr="004C2BDA" w:rsidRDefault="00C430D1" w:rsidP="00522DFC">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21</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r w:rsidR="00522DFC" w:rsidRPr="004C2BDA" w14:paraId="002BB9EE" w14:textId="77777777" w:rsidTr="008F10DC">
        <w:trPr>
          <w:trHeight w:val="136"/>
        </w:trPr>
        <w:tc>
          <w:tcPr>
            <w:tcW w:w="5000" w:type="pct"/>
            <w:gridSpan w:val="6"/>
            <w:tcBorders>
              <w:top w:val="triple" w:sz="4" w:space="0" w:color="6B634B"/>
              <w:left w:val="nil"/>
            </w:tcBorders>
            <w:vAlign w:val="center"/>
          </w:tcPr>
          <w:p w14:paraId="0EB9923C" w14:textId="77777777" w:rsidR="00522DFC" w:rsidRPr="004C2BDA" w:rsidRDefault="00522DFC" w:rsidP="00522DFC">
            <w:pPr>
              <w:spacing w:after="0" w:line="240" w:lineRule="auto"/>
              <w:rPr>
                <w:rFonts w:ascii="DIN Next LT" w:eastAsia="DINNextLTPro-Regular" w:hAnsi="DIN Next LT" w:cs="DIN Next LT"/>
                <w:b/>
                <w:bCs/>
                <w:sz w:val="22"/>
                <w:szCs w:val="22"/>
              </w:rPr>
            </w:pPr>
            <w:r w:rsidRPr="004C2BDA">
              <w:rPr>
                <w:rFonts w:ascii="DIN Next LT" w:eastAsia="Times New Roman" w:hAnsi="DIN Next LT" w:cs="DIN Next LT"/>
                <w:b/>
                <w:bCs/>
                <w:color w:val="B8A567"/>
                <w:sz w:val="22"/>
                <w:szCs w:val="22"/>
              </w:rPr>
              <w:t>Avg. realized prices ($/oz)</w:t>
            </w:r>
          </w:p>
        </w:tc>
      </w:tr>
      <w:tr w:rsidR="00062AE9" w:rsidRPr="004C2BDA" w14:paraId="1E81196C" w14:textId="77777777" w:rsidTr="009D7333">
        <w:trPr>
          <w:trHeight w:val="144"/>
        </w:trPr>
        <w:tc>
          <w:tcPr>
            <w:tcW w:w="1296" w:type="pct"/>
            <w:tcBorders>
              <w:top w:val="nil"/>
              <w:left w:val="nil"/>
              <w:bottom w:val="triple" w:sz="4" w:space="0" w:color="auto"/>
              <w:right w:val="nil"/>
            </w:tcBorders>
            <w:vAlign w:val="center"/>
          </w:tcPr>
          <w:p w14:paraId="2888806E" w14:textId="77777777" w:rsidR="00062AE9" w:rsidRPr="004C2BDA" w:rsidRDefault="00062AE9" w:rsidP="00C363C1">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Gold</w:t>
            </w:r>
          </w:p>
        </w:tc>
        <w:tc>
          <w:tcPr>
            <w:tcW w:w="741" w:type="pct"/>
            <w:tcBorders>
              <w:top w:val="single" w:sz="4" w:space="0" w:color="B8A567"/>
              <w:left w:val="nil"/>
              <w:bottom w:val="triple" w:sz="4" w:space="0" w:color="auto"/>
              <w:right w:val="single" w:sz="4" w:space="0" w:color="BFBFBF"/>
            </w:tcBorders>
            <w:shd w:val="clear" w:color="auto" w:fill="F7F3E9"/>
            <w:vAlign w:val="center"/>
          </w:tcPr>
          <w:p w14:paraId="17B3D2CF" w14:textId="2F6CEF23" w:rsidR="00062AE9" w:rsidRPr="004C2BDA" w:rsidRDefault="00062AE9" w:rsidP="00C363C1">
            <w:pPr>
              <w:spacing w:after="0" w:line="240" w:lineRule="auto"/>
              <w:jc w:val="right"/>
              <w:rPr>
                <w:rFonts w:ascii="DIN Next LT" w:eastAsia="DINNextLTPro-Regular" w:hAnsi="DIN Next LT" w:cs="DIN Next LT"/>
                <w:b/>
                <w:bCs/>
                <w:sz w:val="22"/>
                <w:szCs w:val="22"/>
              </w:rPr>
            </w:pPr>
            <w:r>
              <w:rPr>
                <w:rFonts w:ascii="DIN Next LT" w:eastAsia="DINNextLTPro-Regular" w:hAnsi="DIN Next LT" w:cs="DIN Next LT"/>
                <w:b/>
                <w:bCs/>
                <w:sz w:val="22"/>
                <w:szCs w:val="22"/>
              </w:rPr>
              <w:t>4,775</w:t>
            </w:r>
          </w:p>
        </w:tc>
        <w:tc>
          <w:tcPr>
            <w:tcW w:w="741" w:type="pct"/>
            <w:tcBorders>
              <w:top w:val="single" w:sz="4" w:space="0" w:color="B8A567"/>
              <w:left w:val="nil"/>
              <w:bottom w:val="triple" w:sz="4" w:space="0" w:color="auto"/>
              <w:right w:val="single" w:sz="4" w:space="0" w:color="BFBFBF"/>
            </w:tcBorders>
            <w:vAlign w:val="center"/>
          </w:tcPr>
          <w:p w14:paraId="68AAFEB4" w14:textId="4B309B80" w:rsidR="00062AE9" w:rsidRPr="004C2BDA" w:rsidRDefault="00062AE9" w:rsidP="00C363C1">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2,858</w:t>
            </w:r>
          </w:p>
        </w:tc>
        <w:tc>
          <w:tcPr>
            <w:tcW w:w="741" w:type="pct"/>
            <w:tcBorders>
              <w:top w:val="single" w:sz="4" w:space="0" w:color="B8A567"/>
              <w:left w:val="nil"/>
              <w:bottom w:val="triple" w:sz="4" w:space="0" w:color="auto"/>
              <w:right w:val="single" w:sz="18" w:space="0" w:color="343631"/>
            </w:tcBorders>
            <w:shd w:val="clear" w:color="auto" w:fill="F2F2F2"/>
            <w:vAlign w:val="center"/>
          </w:tcPr>
          <w:p w14:paraId="02FA1F61" w14:textId="3FE9415E" w:rsidR="00062AE9" w:rsidRPr="004C2BDA" w:rsidRDefault="00062AE9" w:rsidP="00C363C1">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6</w:t>
            </w:r>
            <w:r w:rsidRPr="004C2BDA">
              <w:rPr>
                <w:rFonts w:ascii="DIN Next LT" w:eastAsia="DINNextLTPro-Regular" w:hAnsi="DIN Next LT" w:cs="DIN Next LT"/>
                <w:i/>
                <w:iCs/>
                <w:sz w:val="22"/>
                <w:szCs w:val="22"/>
              </w:rPr>
              <w:t>7%</w:t>
            </w:r>
          </w:p>
        </w:tc>
        <w:tc>
          <w:tcPr>
            <w:tcW w:w="741" w:type="pct"/>
            <w:tcBorders>
              <w:top w:val="single" w:sz="4" w:space="0" w:color="B8A567"/>
              <w:left w:val="single" w:sz="18" w:space="0" w:color="343631"/>
              <w:bottom w:val="triple" w:sz="4" w:space="0" w:color="auto"/>
              <w:right w:val="single" w:sz="4" w:space="0" w:color="A6A6A6"/>
            </w:tcBorders>
            <w:shd w:val="clear" w:color="auto" w:fill="F7F3E9"/>
            <w:vAlign w:val="center"/>
          </w:tcPr>
          <w:p w14:paraId="1D65D63D" w14:textId="782C2994"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4,213</w:t>
            </w:r>
          </w:p>
        </w:tc>
        <w:tc>
          <w:tcPr>
            <w:tcW w:w="740" w:type="pct"/>
            <w:tcBorders>
              <w:top w:val="single" w:sz="4" w:space="0" w:color="B8A567"/>
              <w:left w:val="nil"/>
              <w:bottom w:val="triple" w:sz="4" w:space="0" w:color="auto"/>
              <w:right w:val="nil"/>
            </w:tcBorders>
            <w:shd w:val="clear" w:color="auto" w:fill="F2F2F2"/>
            <w:vAlign w:val="center"/>
          </w:tcPr>
          <w:p w14:paraId="66D89961" w14:textId="727D95AD" w:rsidR="00062AE9" w:rsidRPr="004C2BDA" w:rsidRDefault="00062AE9" w:rsidP="00C363C1">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13%</w:t>
            </w:r>
          </w:p>
        </w:tc>
      </w:tr>
      <w:tr w:rsidR="00C363C1" w:rsidRPr="004C2BDA" w14:paraId="2B9029EC" w14:textId="77777777" w:rsidTr="008F10DC">
        <w:trPr>
          <w:trHeight w:val="136"/>
        </w:trPr>
        <w:tc>
          <w:tcPr>
            <w:tcW w:w="5000" w:type="pct"/>
            <w:gridSpan w:val="6"/>
            <w:tcBorders>
              <w:top w:val="triple" w:sz="4" w:space="0" w:color="auto"/>
              <w:left w:val="nil"/>
              <w:bottom w:val="nil"/>
              <w:right w:val="nil"/>
            </w:tcBorders>
            <w:vAlign w:val="center"/>
          </w:tcPr>
          <w:p w14:paraId="59B90F63" w14:textId="77777777" w:rsidR="00C363C1" w:rsidRPr="004C2BDA" w:rsidRDefault="00C363C1" w:rsidP="00C363C1">
            <w:pPr>
              <w:spacing w:after="0" w:line="240" w:lineRule="auto"/>
              <w:rPr>
                <w:rFonts w:ascii="DIN Next LT" w:eastAsia="DINNextLTPro-Regular" w:hAnsi="DIN Next LT" w:cs="DIN Next LT"/>
                <w:i/>
                <w:iCs/>
                <w:sz w:val="22"/>
                <w:szCs w:val="22"/>
              </w:rPr>
            </w:pPr>
            <w:r w:rsidRPr="004C2BDA">
              <w:rPr>
                <w:rFonts w:ascii="DIN Next LT" w:eastAsia="Times New Roman" w:hAnsi="DIN Next LT" w:cs="DIN Next LT"/>
                <w:b/>
                <w:bCs/>
                <w:color w:val="B8A567"/>
                <w:sz w:val="22"/>
                <w:szCs w:val="22"/>
              </w:rPr>
              <w:t xml:space="preserve">All-in Sustaining Costs (Gold $/oz) </w:t>
            </w:r>
          </w:p>
        </w:tc>
      </w:tr>
      <w:tr w:rsidR="00062AE9" w:rsidRPr="004C2BDA" w14:paraId="0EB28752" w14:textId="77777777" w:rsidTr="009D7333">
        <w:trPr>
          <w:trHeight w:val="144"/>
        </w:trPr>
        <w:tc>
          <w:tcPr>
            <w:tcW w:w="1296" w:type="pct"/>
            <w:tcBorders>
              <w:top w:val="nil"/>
              <w:left w:val="nil"/>
              <w:bottom w:val="triple" w:sz="4" w:space="0" w:color="6B634B"/>
              <w:right w:val="nil"/>
            </w:tcBorders>
            <w:vAlign w:val="center"/>
          </w:tcPr>
          <w:p w14:paraId="79241810" w14:textId="77777777" w:rsidR="00062AE9" w:rsidRPr="004C2BDA" w:rsidRDefault="00062AE9" w:rsidP="00C363C1">
            <w:pPr>
              <w:spacing w:after="0" w:line="240" w:lineRule="auto"/>
              <w:rPr>
                <w:rFonts w:ascii="DIN Next LT" w:eastAsia="DINNextLTPro-Regular" w:hAnsi="DIN Next LT" w:cs="DIN Next LT"/>
                <w:b/>
                <w:bCs/>
                <w:sz w:val="22"/>
                <w:szCs w:val="22"/>
              </w:rPr>
            </w:pPr>
            <w:r w:rsidRPr="004C2BDA">
              <w:rPr>
                <w:rFonts w:ascii="DIN Next LT" w:eastAsia="DINNextLTPro-Regular" w:hAnsi="DIN Next LT" w:cs="DIN Next LT"/>
                <w:b/>
                <w:bCs/>
                <w:sz w:val="22"/>
                <w:szCs w:val="22"/>
              </w:rPr>
              <w:t xml:space="preserve">Total Gold </w:t>
            </w:r>
          </w:p>
        </w:tc>
        <w:tc>
          <w:tcPr>
            <w:tcW w:w="741" w:type="pct"/>
            <w:tcBorders>
              <w:top w:val="single" w:sz="4" w:space="0" w:color="B8A567"/>
              <w:left w:val="nil"/>
              <w:bottom w:val="triple" w:sz="4" w:space="0" w:color="6B634B"/>
              <w:right w:val="single" w:sz="4" w:space="0" w:color="BFBFBF"/>
            </w:tcBorders>
            <w:shd w:val="clear" w:color="auto" w:fill="F7F3E9"/>
            <w:vAlign w:val="center"/>
          </w:tcPr>
          <w:p w14:paraId="78BC0E5A" w14:textId="63CFF84F" w:rsidR="00062AE9" w:rsidRPr="004C2BDA" w:rsidRDefault="00062AE9" w:rsidP="00C363C1">
            <w:pPr>
              <w:spacing w:after="0" w:line="240" w:lineRule="auto"/>
              <w:jc w:val="right"/>
              <w:rPr>
                <w:rFonts w:ascii="DIN Next LT" w:eastAsia="DINNextLTPro-Regular" w:hAnsi="DIN Next LT" w:cs="DIN Next LT"/>
                <w:b/>
                <w:bCs/>
                <w:sz w:val="22"/>
                <w:szCs w:val="22"/>
              </w:rPr>
            </w:pPr>
            <w:r w:rsidRPr="00CA6875">
              <w:rPr>
                <w:rFonts w:ascii="DIN Next LT" w:eastAsia="DINNextLTPro-Regular" w:hAnsi="DIN Next LT" w:cs="DIN Next LT" w:hint="cs"/>
                <w:b/>
                <w:bCs/>
                <w:sz w:val="22"/>
                <w:szCs w:val="22"/>
              </w:rPr>
              <w:t>1,052</w:t>
            </w:r>
          </w:p>
        </w:tc>
        <w:tc>
          <w:tcPr>
            <w:tcW w:w="741" w:type="pct"/>
            <w:tcBorders>
              <w:top w:val="single" w:sz="4" w:space="0" w:color="B8A567"/>
              <w:left w:val="nil"/>
              <w:bottom w:val="triple" w:sz="4" w:space="0" w:color="6B634B"/>
              <w:right w:val="single" w:sz="4" w:space="0" w:color="BFBFBF"/>
            </w:tcBorders>
            <w:vAlign w:val="center"/>
          </w:tcPr>
          <w:p w14:paraId="617F8C4D" w14:textId="141574DA" w:rsidR="00062AE9" w:rsidRPr="004C2BDA" w:rsidRDefault="00062AE9" w:rsidP="00C363C1">
            <w:pPr>
              <w:spacing w:after="0" w:line="240" w:lineRule="auto"/>
              <w:jc w:val="right"/>
              <w:rPr>
                <w:rFonts w:ascii="DIN Next LT" w:eastAsia="DINNextLTPro-Regular" w:hAnsi="DIN Next LT" w:cs="DIN Next LT"/>
                <w:sz w:val="22"/>
                <w:szCs w:val="22"/>
              </w:rPr>
            </w:pPr>
            <w:r>
              <w:rPr>
                <w:rFonts w:ascii="DIN Next LT" w:eastAsia="DINNextLTPro-Regular" w:hAnsi="DIN Next LT" w:cs="DIN Next LT"/>
                <w:sz w:val="22"/>
                <w:szCs w:val="22"/>
              </w:rPr>
              <w:t>1,232</w:t>
            </w:r>
          </w:p>
        </w:tc>
        <w:tc>
          <w:tcPr>
            <w:tcW w:w="741" w:type="pct"/>
            <w:tcBorders>
              <w:top w:val="single" w:sz="4" w:space="0" w:color="B8A567"/>
              <w:left w:val="nil"/>
              <w:bottom w:val="triple" w:sz="4" w:space="0" w:color="6B634B"/>
              <w:right w:val="single" w:sz="18" w:space="0" w:color="343631"/>
            </w:tcBorders>
            <w:shd w:val="clear" w:color="auto" w:fill="F2F2F2"/>
            <w:vAlign w:val="center"/>
          </w:tcPr>
          <w:p w14:paraId="75365EAE" w14:textId="56E40894" w:rsidR="00062AE9" w:rsidRPr="004C2BDA" w:rsidRDefault="00C430D1" w:rsidP="00C363C1">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15</w:t>
            </w:r>
            <w:r>
              <w:rPr>
                <w:rFonts w:ascii="DIN Next LT" w:eastAsia="DINNextLTPro-Regular" w:hAnsi="DIN Next LT" w:cs="DIN Next LT"/>
                <w:i/>
                <w:iCs/>
                <w:sz w:val="22"/>
                <w:szCs w:val="22"/>
              </w:rPr>
              <w:t>)</w:t>
            </w:r>
            <w:r w:rsidR="00062AE9" w:rsidRPr="004C2BDA">
              <w:rPr>
                <w:rFonts w:ascii="DIN Next LT" w:eastAsia="DINNextLTPro-Regular" w:hAnsi="DIN Next LT" w:cs="DIN Next LT"/>
                <w:i/>
                <w:iCs/>
                <w:sz w:val="22"/>
                <w:szCs w:val="22"/>
              </w:rPr>
              <w:t>%</w:t>
            </w:r>
            <w:proofErr w:type="gramEnd"/>
          </w:p>
        </w:tc>
        <w:tc>
          <w:tcPr>
            <w:tcW w:w="741" w:type="pct"/>
            <w:tcBorders>
              <w:top w:val="single" w:sz="4" w:space="0" w:color="B8A567"/>
              <w:left w:val="single" w:sz="18" w:space="0" w:color="343631"/>
              <w:bottom w:val="triple" w:sz="4" w:space="0" w:color="6B634B"/>
              <w:right w:val="single" w:sz="4" w:space="0" w:color="A6A6A6"/>
            </w:tcBorders>
            <w:shd w:val="clear" w:color="auto" w:fill="F7F3E9"/>
            <w:vAlign w:val="center"/>
          </w:tcPr>
          <w:p w14:paraId="100BA24B" w14:textId="3F69485D" w:rsidR="00062AE9" w:rsidRPr="005E27D5" w:rsidRDefault="00062AE9" w:rsidP="0072131C">
            <w:pPr>
              <w:spacing w:after="0" w:line="240" w:lineRule="auto"/>
              <w:jc w:val="right"/>
              <w:rPr>
                <w:rFonts w:ascii="DIN Next LT" w:eastAsia="DINNextLTPro-Regular" w:hAnsi="DIN Next LT" w:cs="DIN Next LT"/>
                <w:sz w:val="22"/>
                <w:szCs w:val="22"/>
              </w:rPr>
            </w:pPr>
            <w:r w:rsidRPr="005E27D5">
              <w:rPr>
                <w:rFonts w:ascii="DIN Next LT" w:eastAsia="DINNextLTPro-Regular" w:hAnsi="DIN Next LT" w:cs="DIN Next LT"/>
                <w:sz w:val="22"/>
                <w:szCs w:val="22"/>
              </w:rPr>
              <w:t>1,345</w:t>
            </w:r>
          </w:p>
        </w:tc>
        <w:tc>
          <w:tcPr>
            <w:tcW w:w="741" w:type="pct"/>
            <w:tcBorders>
              <w:top w:val="single" w:sz="4" w:space="0" w:color="B8A567"/>
              <w:left w:val="nil"/>
              <w:bottom w:val="triple" w:sz="4" w:space="0" w:color="6B634B"/>
              <w:right w:val="nil"/>
            </w:tcBorders>
            <w:shd w:val="clear" w:color="auto" w:fill="F2F2F2"/>
            <w:vAlign w:val="center"/>
          </w:tcPr>
          <w:p w14:paraId="295DCDF2" w14:textId="052A03FD" w:rsidR="00062AE9" w:rsidRPr="004C2BDA" w:rsidRDefault="00C430D1" w:rsidP="00C363C1">
            <w:pPr>
              <w:spacing w:after="0" w:line="240" w:lineRule="auto"/>
              <w:jc w:val="right"/>
              <w:rPr>
                <w:rFonts w:ascii="DIN Next LT" w:eastAsia="DINNextLTPro-Regular" w:hAnsi="DIN Next LT" w:cs="DIN Next LT"/>
                <w:i/>
                <w:iCs/>
                <w:sz w:val="22"/>
                <w:szCs w:val="22"/>
              </w:rPr>
            </w:pPr>
            <w:r>
              <w:rPr>
                <w:rFonts w:ascii="DIN Next LT" w:eastAsia="DINNextLTPro-Regular" w:hAnsi="DIN Next LT" w:cs="DIN Next LT"/>
                <w:i/>
                <w:iCs/>
                <w:sz w:val="22"/>
                <w:szCs w:val="22"/>
              </w:rPr>
              <w:t>(</w:t>
            </w:r>
            <w:proofErr w:type="gramStart"/>
            <w:r w:rsidR="00062AE9">
              <w:rPr>
                <w:rFonts w:ascii="DIN Next LT" w:eastAsia="DINNextLTPro-Regular" w:hAnsi="DIN Next LT" w:cs="DIN Next LT"/>
                <w:i/>
                <w:iCs/>
                <w:sz w:val="22"/>
                <w:szCs w:val="22"/>
              </w:rPr>
              <w:t>22</w:t>
            </w:r>
            <w:r>
              <w:rPr>
                <w:rFonts w:ascii="DIN Next LT" w:eastAsia="DINNextLTPro-Regular" w:hAnsi="DIN Next LT" w:cs="DIN Next LT"/>
                <w:i/>
                <w:iCs/>
                <w:sz w:val="22"/>
                <w:szCs w:val="22"/>
              </w:rPr>
              <w:t>)</w:t>
            </w:r>
            <w:r w:rsidR="00062AE9">
              <w:rPr>
                <w:rFonts w:ascii="DIN Next LT" w:eastAsia="DINNextLTPro-Regular" w:hAnsi="DIN Next LT" w:cs="DIN Next LT"/>
                <w:i/>
                <w:iCs/>
                <w:sz w:val="22"/>
                <w:szCs w:val="22"/>
              </w:rPr>
              <w:t>%</w:t>
            </w:r>
            <w:proofErr w:type="gramEnd"/>
          </w:p>
        </w:tc>
      </w:tr>
    </w:tbl>
    <w:p w14:paraId="71FE166C" w14:textId="77777777" w:rsidR="00DF75D6" w:rsidRPr="004C2BDA" w:rsidRDefault="00DF75D6" w:rsidP="00DF75D6">
      <w:pPr>
        <w:spacing w:after="0" w:line="240" w:lineRule="auto"/>
        <w:jc w:val="both"/>
        <w:rPr>
          <w:rFonts w:ascii="DIN Next LT" w:eastAsia="DINNextLTPro-Regular" w:hAnsi="DIN Next LT" w:cs="DIN Next LT"/>
          <w:b/>
          <w:bCs/>
          <w:i/>
          <w:iCs/>
          <w:sz w:val="20"/>
          <w:szCs w:val="20"/>
        </w:rPr>
      </w:pPr>
      <w:r w:rsidRPr="004C2BDA">
        <w:rPr>
          <w:rFonts w:ascii="DIN Next LT" w:eastAsia="DINNextLTPro-Regular" w:hAnsi="DIN Next LT" w:cs="DIN Next LT"/>
          <w:i/>
          <w:iCs/>
          <w:sz w:val="20"/>
          <w:szCs w:val="20"/>
        </w:rPr>
        <w:t>Numbers presented may not add up precisely to the totals provided due to rounding</w:t>
      </w:r>
    </w:p>
    <w:p w14:paraId="2D2DBCAB" w14:textId="77777777" w:rsidR="00FC652B" w:rsidRPr="004C2BDA" w:rsidRDefault="00FC652B" w:rsidP="00FC652B">
      <w:pPr>
        <w:autoSpaceDE w:val="0"/>
        <w:autoSpaceDN w:val="0"/>
        <w:adjustRightInd w:val="0"/>
        <w:spacing w:after="0" w:line="240" w:lineRule="auto"/>
        <w:rPr>
          <w:rFonts w:ascii="DIN Next LT" w:hAnsi="DIN Next LT" w:cs="DIN Next LT"/>
          <w:kern w:val="0"/>
          <w:sz w:val="20"/>
          <w:szCs w:val="20"/>
        </w:rPr>
      </w:pPr>
    </w:p>
    <w:p w14:paraId="4EABAB83" w14:textId="77777777" w:rsidR="00FC652B" w:rsidRPr="004C2BDA" w:rsidRDefault="00FC652B" w:rsidP="00FC652B">
      <w:pPr>
        <w:autoSpaceDE w:val="0"/>
        <w:autoSpaceDN w:val="0"/>
        <w:adjustRightInd w:val="0"/>
        <w:spacing w:after="0" w:line="240" w:lineRule="auto"/>
        <w:rPr>
          <w:rFonts w:ascii="DIN Next LT" w:hAnsi="DIN Next LT" w:cs="DIN Next LT"/>
          <w:kern w:val="0"/>
          <w:sz w:val="20"/>
          <w:szCs w:val="20"/>
        </w:rPr>
      </w:pPr>
    </w:p>
    <w:p w14:paraId="6BEB24CD" w14:textId="77777777" w:rsidR="005E4BE4" w:rsidRDefault="005E4BE4" w:rsidP="003E53B2">
      <w:pPr>
        <w:autoSpaceDE w:val="0"/>
        <w:autoSpaceDN w:val="0"/>
        <w:adjustRightInd w:val="0"/>
        <w:spacing w:before="120" w:after="240" w:line="240" w:lineRule="auto"/>
        <w:jc w:val="both"/>
        <w:rPr>
          <w:rFonts w:ascii="DIN Next LT" w:hAnsi="DIN Next LT" w:cs="DIN Next LT"/>
          <w:b/>
          <w:bCs/>
          <w:kern w:val="0"/>
          <w:sz w:val="22"/>
          <w:szCs w:val="22"/>
        </w:rPr>
      </w:pPr>
    </w:p>
    <w:p w14:paraId="5D4B959E" w14:textId="0A0E915C" w:rsidR="00FC652B" w:rsidRPr="004C2BDA" w:rsidRDefault="00FC652B" w:rsidP="003E53B2">
      <w:pPr>
        <w:autoSpaceDE w:val="0"/>
        <w:autoSpaceDN w:val="0"/>
        <w:adjustRightInd w:val="0"/>
        <w:spacing w:before="120" w:after="240" w:line="240" w:lineRule="auto"/>
        <w:jc w:val="both"/>
        <w:rPr>
          <w:rFonts w:ascii="DIN Next LT" w:hAnsi="DIN Next LT" w:cs="DIN Next LT"/>
          <w:b/>
          <w:bCs/>
          <w:kern w:val="0"/>
          <w:sz w:val="22"/>
          <w:szCs w:val="22"/>
        </w:rPr>
      </w:pPr>
      <w:r w:rsidRPr="004C2BDA">
        <w:rPr>
          <w:rFonts w:ascii="DIN Next LT" w:hAnsi="DIN Next LT" w:cs="DIN Next LT"/>
          <w:b/>
          <w:bCs/>
          <w:kern w:val="0"/>
          <w:sz w:val="22"/>
          <w:szCs w:val="22"/>
        </w:rPr>
        <w:t>OUTLOOK AND MARKET COMMENTARY</w:t>
      </w:r>
    </w:p>
    <w:p w14:paraId="3A7420B0" w14:textId="4D7A6031" w:rsidR="00652A6B" w:rsidRPr="00652A6B" w:rsidRDefault="00652A6B" w:rsidP="003E53B2">
      <w:pPr>
        <w:jc w:val="both"/>
        <w:rPr>
          <w:rFonts w:ascii="DIN Next LT" w:hAnsi="DIN Next LT" w:cs="DIN Next LT"/>
          <w:kern w:val="0"/>
          <w:sz w:val="22"/>
          <w:szCs w:val="22"/>
        </w:rPr>
      </w:pPr>
      <w:r w:rsidRPr="00652A6B">
        <w:rPr>
          <w:rFonts w:ascii="DIN Next LT" w:hAnsi="DIN Next LT" w:cs="DIN Next LT"/>
          <w:kern w:val="0"/>
          <w:sz w:val="22"/>
          <w:szCs w:val="22"/>
        </w:rPr>
        <w:t xml:space="preserve">Phosphate is expected to maintain production momentum in 2026, building on the record performance achieved in 2025. Segment performance in Q1 was supported by improved realized prices and resilient demand, helping to partially offset the impact of elevated sulfur costs on margins. Two ammonia assets were curtailed during the period. Market conditions strengthened through the quarter, with initial seasonal softness in key regions giving way to firmer demand as buyers accelerated purchases ahead of the planting season. Pricing remains supported by ongoing </w:t>
      </w:r>
      <w:r w:rsidR="00245F82">
        <w:rPr>
          <w:rFonts w:ascii="DIN Next LT" w:hAnsi="DIN Next LT" w:cs="DIN Next LT"/>
          <w:kern w:val="0"/>
          <w:sz w:val="22"/>
          <w:szCs w:val="22"/>
        </w:rPr>
        <w:t>logistical disruptions</w:t>
      </w:r>
      <w:r w:rsidRPr="00652A6B">
        <w:rPr>
          <w:rFonts w:ascii="DIN Next LT" w:hAnsi="DIN Next LT" w:cs="DIN Next LT"/>
          <w:kern w:val="0"/>
          <w:sz w:val="22"/>
          <w:szCs w:val="22"/>
        </w:rPr>
        <w:t xml:space="preserve">, </w:t>
      </w:r>
      <w:r w:rsidR="00245F82">
        <w:rPr>
          <w:rFonts w:ascii="DIN Next LT" w:hAnsi="DIN Next LT" w:cs="DIN Next LT"/>
          <w:kern w:val="0"/>
          <w:sz w:val="22"/>
          <w:szCs w:val="22"/>
        </w:rPr>
        <w:t xml:space="preserve">producer curtailment due to elevated sulfur prices and ongoing </w:t>
      </w:r>
      <w:r w:rsidRPr="00652A6B">
        <w:rPr>
          <w:rFonts w:ascii="DIN Next LT" w:hAnsi="DIN Next LT" w:cs="DIN Next LT"/>
          <w:kern w:val="0"/>
          <w:sz w:val="22"/>
          <w:szCs w:val="22"/>
        </w:rPr>
        <w:t>Chinese export</w:t>
      </w:r>
      <w:r w:rsidR="00245F82">
        <w:rPr>
          <w:rFonts w:ascii="DIN Next LT" w:hAnsi="DIN Next LT" w:cs="DIN Next LT"/>
          <w:kern w:val="0"/>
          <w:sz w:val="22"/>
          <w:szCs w:val="22"/>
        </w:rPr>
        <w:t xml:space="preserve"> restrictions</w:t>
      </w:r>
      <w:r w:rsidRPr="00652A6B">
        <w:rPr>
          <w:rFonts w:ascii="DIN Next LT" w:hAnsi="DIN Next LT" w:cs="DIN Next LT"/>
          <w:kern w:val="0"/>
          <w:sz w:val="22"/>
          <w:szCs w:val="22"/>
        </w:rPr>
        <w:t>.</w:t>
      </w:r>
    </w:p>
    <w:p w14:paraId="1416CAA5" w14:textId="3A6EEE5C" w:rsidR="00652A6B" w:rsidRPr="00652A6B" w:rsidRDefault="00652A6B" w:rsidP="003E53B2">
      <w:pPr>
        <w:jc w:val="both"/>
        <w:rPr>
          <w:rFonts w:ascii="DIN Next LT" w:hAnsi="DIN Next LT" w:cs="DIN Next LT"/>
          <w:kern w:val="0"/>
          <w:sz w:val="22"/>
          <w:szCs w:val="22"/>
        </w:rPr>
      </w:pPr>
      <w:r w:rsidRPr="00652A6B">
        <w:rPr>
          <w:rFonts w:ascii="DIN Next LT" w:hAnsi="DIN Next LT" w:cs="DIN Next LT"/>
          <w:kern w:val="0"/>
          <w:sz w:val="22"/>
          <w:szCs w:val="22"/>
        </w:rPr>
        <w:t>Aluminum maintained solid operational performance during the quarter</w:t>
      </w:r>
      <w:r w:rsidR="00F71F6E">
        <w:rPr>
          <w:rFonts w:ascii="DIN Next LT" w:hAnsi="DIN Next LT" w:cs="DIN Next LT"/>
          <w:color w:val="EE0000"/>
          <w:kern w:val="0"/>
          <w:sz w:val="22"/>
          <w:szCs w:val="22"/>
        </w:rPr>
        <w:t xml:space="preserve">. </w:t>
      </w:r>
      <w:r w:rsidRPr="00652A6B">
        <w:rPr>
          <w:rFonts w:ascii="DIN Next LT" w:hAnsi="DIN Next LT" w:cs="DIN Next LT"/>
          <w:kern w:val="0"/>
          <w:sz w:val="22"/>
          <w:szCs w:val="22"/>
        </w:rPr>
        <w:t>Performance was supported by improved pricing, continuing the upward trend seen in 2025. Market dynamics evolved during the quarter</w:t>
      </w:r>
      <w:r w:rsidR="00F71F6E">
        <w:rPr>
          <w:rFonts w:ascii="DIN Next LT" w:hAnsi="DIN Next LT" w:cs="DIN Next LT"/>
          <w:kern w:val="0"/>
          <w:sz w:val="22"/>
          <w:szCs w:val="22"/>
        </w:rPr>
        <w:t xml:space="preserve"> with </w:t>
      </w:r>
      <w:r w:rsidR="005E60E4">
        <w:rPr>
          <w:rFonts w:ascii="DIN Next LT" w:hAnsi="DIN Next LT" w:cs="DIN Next LT"/>
          <w:kern w:val="0"/>
          <w:sz w:val="22"/>
          <w:szCs w:val="22"/>
        </w:rPr>
        <w:t>the market now expected to have a 2.5Mt deficit in 2026</w:t>
      </w:r>
      <w:r w:rsidRPr="00652A6B">
        <w:rPr>
          <w:rFonts w:ascii="DIN Next LT" w:hAnsi="DIN Next LT" w:cs="DIN Next LT"/>
          <w:kern w:val="0"/>
          <w:sz w:val="22"/>
          <w:szCs w:val="22"/>
        </w:rPr>
        <w:t>.</w:t>
      </w:r>
    </w:p>
    <w:p w14:paraId="4968D317" w14:textId="5AF307E6" w:rsidR="00652A6B" w:rsidRPr="00652A6B" w:rsidRDefault="00652A6B" w:rsidP="003E53B2">
      <w:pPr>
        <w:jc w:val="both"/>
        <w:rPr>
          <w:rFonts w:ascii="DIN Next LT" w:hAnsi="DIN Next LT" w:cs="DIN Next LT"/>
          <w:kern w:val="0"/>
          <w:sz w:val="22"/>
          <w:szCs w:val="22"/>
        </w:rPr>
      </w:pPr>
      <w:r w:rsidRPr="00652A6B">
        <w:rPr>
          <w:rFonts w:ascii="DIN Next LT" w:hAnsi="DIN Next LT" w:cs="DIN Next LT"/>
          <w:kern w:val="0"/>
          <w:sz w:val="22"/>
          <w:szCs w:val="22"/>
        </w:rPr>
        <w:lastRenderedPageBreak/>
        <w:t>Gold prices remained strong during the quarter, supporting an improved margin profile YoY and QoQ. Production was impacted by voluntary safety stoppages at two smaller mines reflecting a focus on safety</w:t>
      </w:r>
      <w:r w:rsidR="00304F3A">
        <w:rPr>
          <w:rFonts w:ascii="DIN Next LT" w:hAnsi="DIN Next LT" w:cs="DIN Next LT"/>
          <w:kern w:val="0"/>
          <w:sz w:val="22"/>
          <w:szCs w:val="22"/>
        </w:rPr>
        <w:t>,</w:t>
      </w:r>
      <w:r w:rsidRPr="00652A6B">
        <w:rPr>
          <w:rFonts w:ascii="DIN Next LT" w:hAnsi="DIN Next LT" w:cs="DIN Next LT"/>
          <w:kern w:val="0"/>
          <w:sz w:val="22"/>
          <w:szCs w:val="22"/>
        </w:rPr>
        <w:t xml:space="preserve"> and sequencing. Group all-in sustaining costs decreased, driven by a better cost profile at key operations and lower output from higher-cost assets.</w:t>
      </w:r>
    </w:p>
    <w:p w14:paraId="4E5985F3" w14:textId="395A81D7" w:rsidR="007730B9" w:rsidRPr="009E59AA" w:rsidRDefault="00670985" w:rsidP="00537550">
      <w:pPr>
        <w:jc w:val="both"/>
        <w:rPr>
          <w:rFonts w:ascii="DIN Next LT" w:hAnsi="DIN Next LT" w:cs="DIN Next LT"/>
          <w:b/>
          <w:bCs/>
          <w:kern w:val="0"/>
          <w:sz w:val="22"/>
          <w:szCs w:val="22"/>
        </w:rPr>
      </w:pPr>
      <w:r w:rsidRPr="00670985">
        <w:rPr>
          <w:rFonts w:ascii="DIN Next LT" w:hAnsi="DIN Next LT" w:cs="DIN Next LT"/>
          <w:kern w:val="0"/>
          <w:sz w:val="22"/>
          <w:szCs w:val="22"/>
        </w:rPr>
        <w:t xml:space="preserve">Maaden’s full-year CAPEX guidance for 2026 remains unchanged at approximately $4.2 billion, of which $3.4 billion is allocated to growth projects. </w:t>
      </w:r>
    </w:p>
    <w:p w14:paraId="3080E2BB" w14:textId="71A7D313" w:rsidR="00FC652B" w:rsidRPr="004C2BDA" w:rsidRDefault="00FC652B" w:rsidP="00397B89">
      <w:pPr>
        <w:autoSpaceDE w:val="0"/>
        <w:autoSpaceDN w:val="0"/>
        <w:adjustRightInd w:val="0"/>
        <w:spacing w:before="120" w:after="240" w:line="240" w:lineRule="auto"/>
        <w:jc w:val="both"/>
        <w:rPr>
          <w:rFonts w:ascii="DIN Next LT" w:hAnsi="DIN Next LT" w:cs="DIN Next LT"/>
          <w:b/>
          <w:bCs/>
          <w:kern w:val="0"/>
          <w:sz w:val="22"/>
          <w:szCs w:val="22"/>
        </w:rPr>
      </w:pPr>
      <w:r w:rsidRPr="004C2BDA">
        <w:rPr>
          <w:rFonts w:ascii="DIN Next LT" w:hAnsi="DIN Next LT" w:cs="DIN Next LT"/>
          <w:b/>
          <w:bCs/>
          <w:kern w:val="0"/>
          <w:sz w:val="22"/>
          <w:szCs w:val="22"/>
        </w:rPr>
        <w:t>ANALYST CALL AND EARNINGS PRESENTATION</w:t>
      </w:r>
    </w:p>
    <w:p w14:paraId="5B86F580" w14:textId="1A33D573" w:rsidR="00FC652B" w:rsidRPr="004C2BDA" w:rsidRDefault="00FC652B" w:rsidP="00397B89">
      <w:pPr>
        <w:autoSpaceDE w:val="0"/>
        <w:autoSpaceDN w:val="0"/>
        <w:adjustRightInd w:val="0"/>
        <w:spacing w:before="120" w:after="240" w:line="240" w:lineRule="auto"/>
        <w:jc w:val="both"/>
        <w:rPr>
          <w:rFonts w:ascii="DIN Next LT" w:hAnsi="DIN Next LT" w:cs="DIN Next LT"/>
          <w:color w:val="343631"/>
          <w:kern w:val="0"/>
          <w:sz w:val="22"/>
          <w:szCs w:val="22"/>
          <w:u w:color="C76210"/>
        </w:rPr>
      </w:pPr>
      <w:r w:rsidRPr="004C2BDA">
        <w:rPr>
          <w:rFonts w:ascii="DIN Next LT" w:hAnsi="DIN Next LT" w:cs="DIN Next LT"/>
          <w:color w:val="343631"/>
          <w:kern w:val="0"/>
          <w:sz w:val="22"/>
          <w:szCs w:val="22"/>
        </w:rPr>
        <w:t xml:space="preserve">Maaden will be hosting an analyst </w:t>
      </w:r>
      <w:r w:rsidR="00A13536">
        <w:rPr>
          <w:rFonts w:ascii="DIN Next LT" w:hAnsi="DIN Next LT" w:cs="DIN Next LT"/>
          <w:color w:val="343631"/>
          <w:kern w:val="0"/>
          <w:sz w:val="22"/>
          <w:szCs w:val="22"/>
        </w:rPr>
        <w:t xml:space="preserve">call </w:t>
      </w:r>
      <w:r w:rsidR="00DF46D7">
        <w:rPr>
          <w:rFonts w:ascii="DIN Next LT" w:hAnsi="DIN Next LT" w:cs="DIN Next LT"/>
          <w:color w:val="343631"/>
          <w:kern w:val="0"/>
          <w:sz w:val="22"/>
          <w:szCs w:val="22"/>
        </w:rPr>
        <w:t xml:space="preserve">on </w:t>
      </w:r>
      <w:r w:rsidR="009E59AA">
        <w:rPr>
          <w:rFonts w:ascii="DIN Next LT" w:hAnsi="DIN Next LT" w:cs="DIN Next LT"/>
          <w:color w:val="343631"/>
          <w:kern w:val="0"/>
          <w:sz w:val="22"/>
          <w:szCs w:val="22"/>
        </w:rPr>
        <w:t xml:space="preserve">4 May </w:t>
      </w:r>
      <w:r w:rsidRPr="009F3330">
        <w:rPr>
          <w:rFonts w:ascii="DIN Next LT" w:hAnsi="DIN Next LT" w:cs="DIN Next LT"/>
          <w:color w:val="343631"/>
          <w:kern w:val="0"/>
          <w:sz w:val="22"/>
          <w:szCs w:val="22"/>
        </w:rPr>
        <w:t xml:space="preserve">2026, at </w:t>
      </w:r>
      <w:r w:rsidR="009E59AA">
        <w:rPr>
          <w:rFonts w:ascii="DIN Next LT" w:hAnsi="DIN Next LT" w:cs="DIN Next LT"/>
          <w:color w:val="343631"/>
          <w:kern w:val="0"/>
          <w:sz w:val="22"/>
          <w:szCs w:val="22"/>
        </w:rPr>
        <w:t>15:00</w:t>
      </w:r>
      <w:r w:rsidRPr="009F3330">
        <w:rPr>
          <w:rFonts w:ascii="DIN Next LT" w:hAnsi="DIN Next LT" w:cs="DIN Next LT"/>
          <w:color w:val="343631"/>
          <w:kern w:val="0"/>
          <w:sz w:val="22"/>
          <w:szCs w:val="22"/>
        </w:rPr>
        <w:t xml:space="preserve"> </w:t>
      </w:r>
      <w:r w:rsidRPr="004C2BDA">
        <w:rPr>
          <w:rFonts w:ascii="DIN Next LT" w:hAnsi="DIN Next LT" w:cs="DIN Next LT"/>
          <w:color w:val="343631"/>
          <w:kern w:val="0"/>
          <w:sz w:val="22"/>
          <w:szCs w:val="22"/>
        </w:rPr>
        <w:t>KSA time to present its Q</w:t>
      </w:r>
      <w:r w:rsidR="0017788F">
        <w:rPr>
          <w:rFonts w:ascii="DIN Next LT" w:hAnsi="DIN Next LT" w:cs="DIN Next LT"/>
          <w:color w:val="343631"/>
          <w:kern w:val="0"/>
          <w:sz w:val="22"/>
          <w:szCs w:val="22"/>
        </w:rPr>
        <w:t>1</w:t>
      </w:r>
      <w:r w:rsidRPr="004C2BDA">
        <w:rPr>
          <w:rFonts w:ascii="DIN Next LT" w:hAnsi="DIN Next LT" w:cs="DIN Next LT"/>
          <w:color w:val="343631"/>
          <w:kern w:val="0"/>
          <w:sz w:val="22"/>
          <w:szCs w:val="22"/>
        </w:rPr>
        <w:t>-2</w:t>
      </w:r>
      <w:r w:rsidR="0017788F">
        <w:rPr>
          <w:rFonts w:ascii="DIN Next LT" w:hAnsi="DIN Next LT" w:cs="DIN Next LT"/>
          <w:color w:val="343631"/>
          <w:kern w:val="0"/>
          <w:sz w:val="22"/>
          <w:szCs w:val="22"/>
        </w:rPr>
        <w:t>6</w:t>
      </w:r>
      <w:r w:rsidRPr="004C2BDA">
        <w:rPr>
          <w:rFonts w:ascii="DIN Next LT" w:hAnsi="DIN Next LT" w:cs="DIN Next LT"/>
          <w:color w:val="343631"/>
          <w:kern w:val="0"/>
          <w:sz w:val="22"/>
          <w:szCs w:val="22"/>
        </w:rPr>
        <w:t xml:space="preserve"> financial results. For conference call details, please email </w:t>
      </w:r>
      <w:r w:rsidRPr="004C2BDA">
        <w:rPr>
          <w:rFonts w:ascii="DIN Next LT" w:hAnsi="DIN Next LT" w:cs="DIN Next LT"/>
          <w:color w:val="C76210"/>
          <w:kern w:val="0"/>
          <w:sz w:val="22"/>
          <w:szCs w:val="22"/>
          <w:u w:val="single" w:color="C76210"/>
        </w:rPr>
        <w:t>invest@maaden.com</w:t>
      </w:r>
      <w:r w:rsidRPr="004C2BDA">
        <w:rPr>
          <w:rFonts w:ascii="DIN Next LT" w:hAnsi="DIN Next LT" w:cs="DIN Next LT"/>
          <w:color w:val="343631"/>
          <w:kern w:val="0"/>
          <w:sz w:val="22"/>
          <w:szCs w:val="22"/>
          <w:u w:color="C76210"/>
        </w:rPr>
        <w:t>.</w:t>
      </w:r>
    </w:p>
    <w:p w14:paraId="638519F9" w14:textId="77777777" w:rsidR="00FC652B" w:rsidRPr="004C2BDA" w:rsidRDefault="00FC652B" w:rsidP="00E05864">
      <w:pPr>
        <w:autoSpaceDE w:val="0"/>
        <w:autoSpaceDN w:val="0"/>
        <w:adjustRightInd w:val="0"/>
        <w:spacing w:before="120" w:after="240" w:line="240" w:lineRule="auto"/>
        <w:jc w:val="both"/>
        <w:rPr>
          <w:rFonts w:ascii="DIN Next LT" w:hAnsi="DIN Next LT" w:cs="DIN Next LT"/>
          <w:b/>
          <w:bCs/>
          <w:kern w:val="0"/>
          <w:sz w:val="22"/>
          <w:szCs w:val="22"/>
          <w:u w:color="C76210"/>
        </w:rPr>
      </w:pPr>
      <w:r w:rsidRPr="004C2BDA">
        <w:rPr>
          <w:rFonts w:ascii="DIN Next LT" w:hAnsi="DIN Next LT" w:cs="DIN Next LT"/>
          <w:b/>
          <w:bCs/>
          <w:kern w:val="0"/>
          <w:sz w:val="22"/>
          <w:szCs w:val="22"/>
          <w:u w:color="C76210"/>
        </w:rPr>
        <w:t xml:space="preserve">ABOUT MAADEN </w:t>
      </w:r>
    </w:p>
    <w:p w14:paraId="04424392" w14:textId="16A6891C" w:rsidR="00FC652B" w:rsidRPr="004C2BDA" w:rsidRDefault="00FC652B" w:rsidP="003E53B2">
      <w:pPr>
        <w:autoSpaceDE w:val="0"/>
        <w:autoSpaceDN w:val="0"/>
        <w:adjustRightInd w:val="0"/>
        <w:spacing w:before="120" w:after="240" w:line="240" w:lineRule="auto"/>
        <w:jc w:val="both"/>
        <w:rPr>
          <w:rFonts w:ascii="DIN Next LT" w:hAnsi="DIN Next LT" w:cs="DIN Next LT"/>
          <w:color w:val="343631"/>
          <w:kern w:val="0"/>
          <w:sz w:val="22"/>
          <w:szCs w:val="22"/>
          <w:u w:color="C76210"/>
        </w:rPr>
      </w:pPr>
      <w:r w:rsidRPr="004C2BDA">
        <w:rPr>
          <w:rFonts w:ascii="DIN Next LT" w:hAnsi="DIN Next LT" w:cs="DIN Next LT"/>
          <w:color w:val="343631"/>
          <w:kern w:val="0"/>
          <w:sz w:val="22"/>
          <w:szCs w:val="22"/>
          <w:u w:color="C76210"/>
        </w:rPr>
        <w:t>Maaden is the Middle East's largest multi-commodity mining and metals company and stands among the world's fastest growing</w:t>
      </w:r>
      <w:r w:rsidR="005147CB">
        <w:rPr>
          <w:rFonts w:ascii="DIN Next LT" w:hAnsi="DIN Next LT" w:cs="DIN Next LT"/>
          <w:color w:val="343631"/>
          <w:kern w:val="0"/>
          <w:sz w:val="22"/>
          <w:szCs w:val="22"/>
          <w:u w:color="C76210"/>
        </w:rPr>
        <w:t>.</w:t>
      </w:r>
      <w:r w:rsidRPr="004C2BDA">
        <w:rPr>
          <w:rFonts w:ascii="DIN Next LT" w:hAnsi="DIN Next LT" w:cs="DIN Next LT"/>
          <w:color w:val="343631"/>
          <w:kern w:val="0"/>
          <w:sz w:val="22"/>
          <w:szCs w:val="22"/>
          <w:u w:color="C76210"/>
        </w:rPr>
        <w:t xml:space="preserve"> </w:t>
      </w:r>
    </w:p>
    <w:p w14:paraId="7D26F0E8" w14:textId="78F28D48" w:rsidR="00FC652B" w:rsidRPr="00886F48" w:rsidRDefault="00FC652B" w:rsidP="00886F48">
      <w:pPr>
        <w:autoSpaceDE w:val="0"/>
        <w:autoSpaceDN w:val="0"/>
        <w:adjustRightInd w:val="0"/>
        <w:spacing w:after="0"/>
        <w:jc w:val="both"/>
        <w:rPr>
          <w:rFonts w:ascii="NewRiyal" w:hAnsi="NewRiyal" w:cs="DIN Next LT"/>
          <w:color w:val="343631"/>
          <w:sz w:val="22"/>
          <w:szCs w:val="22"/>
          <w:u w:color="C76210"/>
        </w:rPr>
      </w:pPr>
      <w:r w:rsidRPr="004C2BDA">
        <w:rPr>
          <w:rFonts w:ascii="DIN Next LT" w:hAnsi="DIN Next LT" w:cs="DIN Next LT"/>
          <w:kern w:val="0"/>
          <w:sz w:val="22"/>
          <w:szCs w:val="22"/>
          <w:u w:color="C76210"/>
        </w:rPr>
        <w:t>Maaden is a cornerstone of Saudi Arabia</w:t>
      </w:r>
      <w:r w:rsidR="00780937">
        <w:rPr>
          <w:rFonts w:ascii="DIN Next LT" w:hAnsi="DIN Next LT" w:cs="DIN Next LT"/>
          <w:kern w:val="0"/>
          <w:sz w:val="22"/>
          <w:szCs w:val="22"/>
          <w:u w:color="C76210"/>
        </w:rPr>
        <w:t>’</w:t>
      </w:r>
      <w:r w:rsidRPr="004C2BDA">
        <w:rPr>
          <w:rFonts w:ascii="DIN Next LT" w:hAnsi="DIN Next LT" w:cs="DIN Next LT"/>
          <w:kern w:val="0"/>
          <w:sz w:val="22"/>
          <w:szCs w:val="22"/>
          <w:u w:color="C76210"/>
        </w:rPr>
        <w:t>s industrial transformation and ranks among the world</w:t>
      </w:r>
      <w:r w:rsidR="00780937">
        <w:rPr>
          <w:rFonts w:ascii="DIN Next LT" w:hAnsi="DIN Next LT" w:cs="DIN Next LT"/>
          <w:kern w:val="0"/>
          <w:sz w:val="22"/>
          <w:szCs w:val="22"/>
          <w:u w:color="C76210"/>
        </w:rPr>
        <w:t>’</w:t>
      </w:r>
      <w:r w:rsidRPr="004C2BDA">
        <w:rPr>
          <w:rFonts w:ascii="DIN Next LT" w:hAnsi="DIN Next LT" w:cs="DIN Next LT"/>
          <w:kern w:val="0"/>
          <w:sz w:val="22"/>
          <w:szCs w:val="22"/>
          <w:u w:color="C76210"/>
        </w:rPr>
        <w:t>s top ten mining companies by market value, with</w:t>
      </w:r>
      <w:r w:rsidRPr="004C2BDA">
        <w:rPr>
          <w:rFonts w:ascii="DIN Next LT" w:hAnsi="DIN Next LT" w:cs="DIN Next LT"/>
          <w:color w:val="343631"/>
          <w:kern w:val="0"/>
          <w:sz w:val="22"/>
          <w:szCs w:val="22"/>
          <w:u w:color="C76210"/>
        </w:rPr>
        <w:t xml:space="preserve"> revenues of</w:t>
      </w:r>
      <w:r w:rsidR="00F842B1">
        <w:rPr>
          <w:rFonts w:ascii="DIN Next LT" w:hAnsi="DIN Next LT" w:cs="DIN Next LT"/>
          <w:color w:val="343631"/>
          <w:kern w:val="0"/>
          <w:sz w:val="22"/>
          <w:szCs w:val="22"/>
          <w:u w:color="C76210"/>
        </w:rPr>
        <w:t xml:space="preserve"> </w:t>
      </w:r>
      <w:r w:rsidR="00F842B1" w:rsidRPr="00F842B1">
        <w:rPr>
          <w:rFonts w:ascii="DIN Next LT" w:hAnsi="DIN Next LT" w:cs="DIN Next LT"/>
          <w:color w:val="343631"/>
          <w:kern w:val="0"/>
          <w:sz w:val="22"/>
          <w:szCs w:val="22"/>
          <w:u w:color="C76210"/>
        </w:rPr>
        <w:t>$10.3 billion</w:t>
      </w:r>
      <w:r w:rsidRPr="004C2BDA">
        <w:rPr>
          <w:rFonts w:ascii="DIN Next LT" w:hAnsi="DIN Next LT" w:cs="DIN Next LT"/>
          <w:color w:val="343631"/>
          <w:kern w:val="0"/>
          <w:sz w:val="22"/>
          <w:szCs w:val="22"/>
          <w:u w:color="C76210"/>
        </w:rPr>
        <w:t xml:space="preserve"> (</w:t>
      </w:r>
      <w:r w:rsidR="00886F48" w:rsidRPr="00886F48">
        <w:rPr>
          <w:rFonts w:ascii="NewRiyal" w:hAnsi="NewRiyal" w:cs="DIN Next LT"/>
          <w:color w:val="343631"/>
          <w:sz w:val="22"/>
          <w:szCs w:val="22"/>
          <w:u w:color="C76210"/>
        </w:rPr>
        <w:t>⃁</w:t>
      </w:r>
      <w:r w:rsidR="00F842B1" w:rsidRPr="00F842B1">
        <w:rPr>
          <w:rFonts w:ascii="DIN Next LT" w:hAnsi="DIN Next LT" w:cs="DIN Next LT"/>
          <w:color w:val="343631"/>
          <w:kern w:val="0"/>
          <w:sz w:val="22"/>
          <w:szCs w:val="22"/>
          <w:u w:color="C76210"/>
        </w:rPr>
        <w:t>38.6 billion</w:t>
      </w:r>
      <w:r w:rsidRPr="004C2BDA">
        <w:rPr>
          <w:rFonts w:ascii="DIN Next LT" w:hAnsi="DIN Next LT" w:cs="DIN Next LT"/>
          <w:color w:val="343631"/>
          <w:kern w:val="0"/>
          <w:sz w:val="22"/>
          <w:szCs w:val="22"/>
          <w:u w:color="C76210"/>
        </w:rPr>
        <w:t>) for 2025.</w:t>
      </w:r>
    </w:p>
    <w:p w14:paraId="6B21DF48" w14:textId="77777777" w:rsidR="002F7806" w:rsidRPr="004C2BDA" w:rsidRDefault="002F7806" w:rsidP="003E53B2">
      <w:pPr>
        <w:autoSpaceDE w:val="0"/>
        <w:autoSpaceDN w:val="0"/>
        <w:adjustRightInd w:val="0"/>
        <w:spacing w:after="0" w:line="240" w:lineRule="auto"/>
        <w:jc w:val="both"/>
        <w:rPr>
          <w:rFonts w:ascii="DIN Next LT" w:hAnsi="DIN Next LT" w:cs="DIN Next LT"/>
          <w:color w:val="343631"/>
          <w:kern w:val="0"/>
          <w:sz w:val="22"/>
          <w:szCs w:val="22"/>
          <w:u w:color="C76210"/>
        </w:rPr>
      </w:pPr>
    </w:p>
    <w:p w14:paraId="59F4EF50" w14:textId="50647A2A" w:rsidR="00FC652B" w:rsidRDefault="00FC652B" w:rsidP="003E53B2">
      <w:pPr>
        <w:autoSpaceDE w:val="0"/>
        <w:autoSpaceDN w:val="0"/>
        <w:adjustRightInd w:val="0"/>
        <w:spacing w:after="0" w:line="240" w:lineRule="auto"/>
        <w:jc w:val="both"/>
        <w:rPr>
          <w:rFonts w:ascii="DIN Next LT" w:hAnsi="DIN Next LT" w:cs="DIN Next LT"/>
          <w:kern w:val="0"/>
          <w:sz w:val="22"/>
          <w:szCs w:val="22"/>
          <w:u w:color="C76210"/>
        </w:rPr>
      </w:pPr>
      <w:r w:rsidRPr="004C2BDA">
        <w:rPr>
          <w:rFonts w:ascii="DIN Next LT" w:hAnsi="DIN Next LT" w:cs="DIN Next LT"/>
          <w:kern w:val="0"/>
          <w:sz w:val="22"/>
          <w:szCs w:val="22"/>
          <w:u w:color="C76210"/>
        </w:rPr>
        <w:t>We are building the future of mining through integrated value chains across gold, phosphate, bauxite, copper and more. As well as operating sites across the Kingdom, we are undertaking one of the world</w:t>
      </w:r>
      <w:r w:rsidR="00780937">
        <w:rPr>
          <w:rFonts w:ascii="DIN Next LT" w:hAnsi="DIN Next LT" w:cs="DIN Next LT"/>
          <w:kern w:val="0"/>
          <w:sz w:val="22"/>
          <w:szCs w:val="22"/>
          <w:u w:color="C76210"/>
        </w:rPr>
        <w:t>’</w:t>
      </w:r>
      <w:r w:rsidRPr="004C2BDA">
        <w:rPr>
          <w:rFonts w:ascii="DIN Next LT" w:hAnsi="DIN Next LT" w:cs="DIN Next LT"/>
          <w:kern w:val="0"/>
          <w:sz w:val="22"/>
          <w:szCs w:val="22"/>
          <w:u w:color="C76210"/>
        </w:rPr>
        <w:t>s largest single jurisdiction exploration programs and building a series of mega projects to increase the capacity of all our businesses.</w:t>
      </w:r>
    </w:p>
    <w:p w14:paraId="59D76108" w14:textId="77777777" w:rsidR="002F7806" w:rsidRPr="004C2BDA" w:rsidRDefault="002F7806" w:rsidP="003E53B2">
      <w:pPr>
        <w:autoSpaceDE w:val="0"/>
        <w:autoSpaceDN w:val="0"/>
        <w:adjustRightInd w:val="0"/>
        <w:spacing w:after="0" w:line="240" w:lineRule="auto"/>
        <w:jc w:val="both"/>
        <w:rPr>
          <w:rFonts w:ascii="DIN Next LT" w:hAnsi="DIN Next LT" w:cs="DIN Next LT"/>
          <w:kern w:val="0"/>
          <w:sz w:val="22"/>
          <w:szCs w:val="22"/>
          <w:u w:color="C76210"/>
        </w:rPr>
      </w:pPr>
    </w:p>
    <w:p w14:paraId="248DB3A5" w14:textId="77777777" w:rsidR="00FC652B" w:rsidRPr="004C2BDA" w:rsidRDefault="00FC652B" w:rsidP="003E53B2">
      <w:pPr>
        <w:autoSpaceDE w:val="0"/>
        <w:autoSpaceDN w:val="0"/>
        <w:adjustRightInd w:val="0"/>
        <w:spacing w:after="0" w:line="240" w:lineRule="auto"/>
        <w:jc w:val="both"/>
        <w:rPr>
          <w:rFonts w:ascii="DIN Next LT" w:hAnsi="DIN Next LT" w:cs="DIN Next LT"/>
          <w:kern w:val="0"/>
          <w:sz w:val="22"/>
          <w:szCs w:val="22"/>
          <w:u w:color="C76210"/>
        </w:rPr>
      </w:pPr>
      <w:r w:rsidRPr="004C2BDA">
        <w:rPr>
          <w:rFonts w:ascii="DIN Next LT" w:hAnsi="DIN Next LT" w:cs="DIN Next LT"/>
          <w:kern w:val="0"/>
          <w:sz w:val="22"/>
          <w:szCs w:val="22"/>
          <w:u w:color="C76210"/>
        </w:rPr>
        <w:t>With over 8,000 people, we are creating new industries, jobs, and opportunities, powering Saudi Vision 2030 and shaping the next chapter of mining.</w:t>
      </w:r>
    </w:p>
    <w:p w14:paraId="6B3183C6" w14:textId="77777777" w:rsidR="00FC652B" w:rsidRPr="004C2BDA" w:rsidRDefault="00FC652B" w:rsidP="003E53B2">
      <w:pPr>
        <w:autoSpaceDE w:val="0"/>
        <w:autoSpaceDN w:val="0"/>
        <w:adjustRightInd w:val="0"/>
        <w:spacing w:before="120" w:after="240" w:line="240" w:lineRule="auto"/>
        <w:jc w:val="both"/>
        <w:rPr>
          <w:rFonts w:ascii="DIN Next LT" w:hAnsi="DIN Next LT" w:cs="DIN Next LT"/>
          <w:b/>
          <w:bCs/>
          <w:kern w:val="0"/>
          <w:sz w:val="22"/>
          <w:szCs w:val="22"/>
          <w:u w:color="C76210"/>
        </w:rPr>
      </w:pPr>
      <w:r w:rsidRPr="004C2BDA">
        <w:rPr>
          <w:rFonts w:ascii="DIN Next LT" w:hAnsi="DIN Next LT" w:cs="DIN Next LT"/>
          <w:color w:val="343631"/>
          <w:kern w:val="0"/>
          <w:sz w:val="22"/>
          <w:szCs w:val="22"/>
          <w:u w:color="C76210"/>
        </w:rPr>
        <w:t xml:space="preserve">For more information, please visit </w:t>
      </w:r>
      <w:r w:rsidRPr="004C2BDA">
        <w:rPr>
          <w:rFonts w:ascii="DIN Next LT" w:hAnsi="DIN Next LT" w:cs="DIN Next LT"/>
          <w:color w:val="C76210"/>
          <w:kern w:val="0"/>
          <w:sz w:val="22"/>
          <w:szCs w:val="22"/>
          <w:u w:val="single" w:color="C76210"/>
        </w:rPr>
        <w:t>www.maaden.com</w:t>
      </w:r>
      <w:r w:rsidRPr="004C2BDA">
        <w:rPr>
          <w:rFonts w:ascii="DIN Next LT" w:hAnsi="DIN Next LT" w:cs="DIN Next LT"/>
          <w:color w:val="343631"/>
          <w:kern w:val="0"/>
          <w:sz w:val="22"/>
          <w:szCs w:val="22"/>
          <w:u w:color="C76210"/>
        </w:rPr>
        <w:t xml:space="preserve"> </w:t>
      </w:r>
      <w:r w:rsidRPr="004C2BDA">
        <w:rPr>
          <w:rFonts w:ascii="DIN Next LT" w:hAnsi="DIN Next LT" w:cs="DIN Next LT"/>
          <w:b/>
          <w:bCs/>
          <w:kern w:val="0"/>
          <w:sz w:val="22"/>
          <w:szCs w:val="22"/>
          <w:u w:color="C76210"/>
        </w:rPr>
        <w:br w:type="page"/>
      </w:r>
    </w:p>
    <w:p w14:paraId="65994407" w14:textId="77777777" w:rsidR="00FC652B" w:rsidRPr="004C2BDA" w:rsidRDefault="00FC652B" w:rsidP="00FC652B">
      <w:pPr>
        <w:autoSpaceDE w:val="0"/>
        <w:autoSpaceDN w:val="0"/>
        <w:adjustRightInd w:val="0"/>
        <w:spacing w:before="120" w:after="240" w:line="240" w:lineRule="auto"/>
        <w:rPr>
          <w:rFonts w:ascii="DIN Next LT" w:hAnsi="DIN Next LT" w:cs="DIN Next LT"/>
          <w:b/>
          <w:bCs/>
          <w:kern w:val="0"/>
          <w:sz w:val="22"/>
          <w:szCs w:val="22"/>
          <w:u w:color="C76210"/>
        </w:rPr>
      </w:pPr>
      <w:r w:rsidRPr="004C2BDA">
        <w:rPr>
          <w:rFonts w:ascii="DIN Next LT" w:hAnsi="DIN Next LT" w:cs="DIN Next LT"/>
          <w:b/>
          <w:bCs/>
          <w:kern w:val="0"/>
          <w:sz w:val="22"/>
          <w:szCs w:val="22"/>
          <w:u w:color="C76210"/>
        </w:rPr>
        <w:lastRenderedPageBreak/>
        <w:t>DISCLAIMER</w:t>
      </w:r>
    </w:p>
    <w:p w14:paraId="43D3BF8C"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r w:rsidRPr="004C2BDA">
        <w:rPr>
          <w:rFonts w:ascii="DIN Next LT" w:hAnsi="DIN Next LT" w:cs="DIN Next LT"/>
          <w:color w:val="343631"/>
          <w:kern w:val="0"/>
          <w:sz w:val="20"/>
          <w:szCs w:val="20"/>
          <w:u w:color="C76210"/>
        </w:rPr>
        <w:t xml:space="preserve">This document may contain statements that are, or may be deemed to be, forward looking statements, including statements about the beliefs and expectations of Saudi Arabian Mining Company (Maaden) (the "Company"). These statements are based on the Company's current plans, estimates and projections, as well as its expectations of external conditions and events. Forward-looking statements involve inherent risks and uncertainties and speak only as of the date they are made. As a result of these risks, uncertainties and assumptions, a prospective investor should not place undue reliance on these forward-looking statements. </w:t>
      </w:r>
      <w:proofErr w:type="gramStart"/>
      <w:r w:rsidRPr="004C2BDA">
        <w:rPr>
          <w:rFonts w:ascii="DIN Next LT" w:hAnsi="DIN Next LT" w:cs="DIN Next LT"/>
          <w:color w:val="343631"/>
          <w:kern w:val="0"/>
          <w:sz w:val="20"/>
          <w:szCs w:val="20"/>
          <w:u w:color="C76210"/>
        </w:rPr>
        <w:t>A number of</w:t>
      </w:r>
      <w:proofErr w:type="gramEnd"/>
      <w:r w:rsidRPr="004C2BDA">
        <w:rPr>
          <w:rFonts w:ascii="DIN Next LT" w:hAnsi="DIN Next LT" w:cs="DIN Next LT"/>
          <w:color w:val="343631"/>
          <w:kern w:val="0"/>
          <w:sz w:val="20"/>
          <w:szCs w:val="20"/>
          <w:u w:color="C76210"/>
        </w:rPr>
        <w:t xml:space="preserve"> important factors could cause actual results or outcomes to differ materially from those expressed in any forward-looking statements. The Company is not obliged to, and does not intend to, update or revise any forward-looking statements made in this presentation whether </w:t>
      </w:r>
      <w:proofErr w:type="gramStart"/>
      <w:r w:rsidRPr="004C2BDA">
        <w:rPr>
          <w:rFonts w:ascii="DIN Next LT" w:hAnsi="DIN Next LT" w:cs="DIN Next LT"/>
          <w:color w:val="343631"/>
          <w:kern w:val="0"/>
          <w:sz w:val="20"/>
          <w:szCs w:val="20"/>
          <w:u w:color="C76210"/>
        </w:rPr>
        <w:t>as a result of</w:t>
      </w:r>
      <w:proofErr w:type="gramEnd"/>
      <w:r w:rsidRPr="004C2BDA">
        <w:rPr>
          <w:rFonts w:ascii="DIN Next LT" w:hAnsi="DIN Next LT" w:cs="DIN Next LT"/>
          <w:color w:val="343631"/>
          <w:kern w:val="0"/>
          <w:sz w:val="20"/>
          <w:szCs w:val="20"/>
          <w:u w:color="C76210"/>
        </w:rPr>
        <w:t xml:space="preserve"> new information, future events or otherwise. </w:t>
      </w:r>
    </w:p>
    <w:p w14:paraId="2D683321"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r w:rsidRPr="004C2BDA">
        <w:rPr>
          <w:rFonts w:ascii="DIN Next LT" w:hAnsi="DIN Next LT" w:cs="DIN Next LT"/>
          <w:color w:val="343631"/>
          <w:kern w:val="0"/>
          <w:sz w:val="20"/>
          <w:szCs w:val="20"/>
          <w:u w:color="C76210"/>
        </w:rPr>
        <w:t xml:space="preserve">This communication has been prepared by and is the sole responsibility of the Company. It has not been reviewed, approved, or endorsed by any financial advisor, lead manager, selling agent, receiving bank or underwriter retained by the Company and is provided for information purposes only. In addition, because this communication is a summary only, it may not contain all material terms and in and of itself should not form the basis for any investment decision. </w:t>
      </w:r>
    </w:p>
    <w:p w14:paraId="117E4797"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r w:rsidRPr="004C2BDA">
        <w:rPr>
          <w:rFonts w:ascii="DIN Next LT" w:hAnsi="DIN Next LT" w:cs="DIN Next LT"/>
          <w:color w:val="343631"/>
          <w:kern w:val="0"/>
          <w:sz w:val="20"/>
          <w:szCs w:val="20"/>
          <w:u w:color="C76210"/>
        </w:rPr>
        <w:t xml:space="preserve">The information and opinions herein are believed to be reliable and have been obtained from sources believed to be reliable, but no representation or warranty, express or implied, is made with respect to the fairness, correctness, accuracy, reasonableness, or completeness of the information and opinions. There is no obligation to update, modify or amend this communication or to otherwise notify you if any information, opinion, projection, forecast, or estimate set forth herein, changes or subsequently becomes inaccurate. </w:t>
      </w:r>
    </w:p>
    <w:p w14:paraId="348D3416"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r w:rsidRPr="004C2BDA">
        <w:rPr>
          <w:rFonts w:ascii="DIN Next LT" w:hAnsi="DIN Next LT" w:cs="DIN Next LT"/>
          <w:color w:val="343631"/>
          <w:kern w:val="0"/>
          <w:sz w:val="20"/>
          <w:szCs w:val="20"/>
          <w:u w:color="C76210"/>
        </w:rPr>
        <w:t xml:space="preserve">You are strongly advised to seek your own independent advice in relation to any investment, financial, legal, tax, accounting, or regulatory issues discussed herein. Analyses and opinions contained herein may be based on assumptions that if altered can change the analyses or opinions expressed. Nothing contained herein shall constitute any representation or warranty as to future performance of any financial instrument, credit, currency, rate, or other market or economic measure. Furthermore, past performance is not necessarily indicative of future results. The Company disclaims liability for any loss arising out of or in connection with your use of, or reliance on, this document. </w:t>
      </w:r>
    </w:p>
    <w:p w14:paraId="28140DBB"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r w:rsidRPr="004C2BDA">
        <w:rPr>
          <w:rFonts w:ascii="DIN Next LT" w:hAnsi="DIN Next LT" w:cs="DIN Next LT"/>
          <w:color w:val="343631"/>
          <w:kern w:val="0"/>
          <w:sz w:val="20"/>
          <w:szCs w:val="20"/>
          <w:u w:color="C76210"/>
        </w:rPr>
        <w:t>These materials may not be published, distributed, or transmitted and may not be reproduced in any manner whatsoever without the explicit written consent of the Company. These materials do not constitute an offer to sell or the solicitation of an offer to buy the securities in any jurisdiction.</w:t>
      </w:r>
    </w:p>
    <w:p w14:paraId="7E0B086C"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b/>
          <w:bCs/>
          <w:kern w:val="0"/>
          <w:sz w:val="22"/>
          <w:szCs w:val="22"/>
          <w:u w:color="C76210"/>
        </w:rPr>
      </w:pPr>
      <w:r w:rsidRPr="004C2BDA">
        <w:rPr>
          <w:rFonts w:ascii="DIN Next LT" w:hAnsi="DIN Next LT" w:cs="DIN Next LT"/>
          <w:b/>
          <w:bCs/>
          <w:kern w:val="0"/>
          <w:sz w:val="22"/>
          <w:szCs w:val="22"/>
          <w:u w:color="C76210"/>
        </w:rPr>
        <w:t>Non-IFRS financial measures</w:t>
      </w:r>
    </w:p>
    <w:p w14:paraId="084F1F4F" w14:textId="77777777" w:rsidR="00FC652B" w:rsidRPr="004C2BDA" w:rsidRDefault="00FC652B" w:rsidP="00FC652B">
      <w:pPr>
        <w:autoSpaceDE w:val="0"/>
        <w:autoSpaceDN w:val="0"/>
        <w:adjustRightInd w:val="0"/>
        <w:spacing w:after="0" w:line="240" w:lineRule="auto"/>
        <w:jc w:val="both"/>
        <w:rPr>
          <w:rFonts w:ascii="DIN Next LT" w:hAnsi="DIN Next LT" w:cs="DIN Next LT"/>
          <w:color w:val="343631"/>
          <w:kern w:val="0"/>
          <w:sz w:val="20"/>
          <w:szCs w:val="20"/>
          <w:u w:color="C76210"/>
        </w:rPr>
      </w:pPr>
      <w:r w:rsidRPr="004C2BDA">
        <w:rPr>
          <w:rFonts w:ascii="DIN Next LT" w:hAnsi="DIN Next LT" w:cs="DIN Next LT"/>
          <w:color w:val="343631"/>
          <w:kern w:val="0"/>
          <w:sz w:val="20"/>
          <w:szCs w:val="20"/>
          <w:u w:color="C76210"/>
        </w:rPr>
        <w:t>Some of the financial information included in this document is derived from the Company</w:t>
      </w:r>
      <w:r w:rsidRPr="00231E29">
        <w:rPr>
          <w:rFonts w:ascii="DIN Next LT" w:hAnsi="DIN Next LT" w:cs="DIN Next LT"/>
          <w:color w:val="343631"/>
          <w:kern w:val="0"/>
          <w:sz w:val="20"/>
          <w:szCs w:val="20"/>
          <w:u w:color="C76210"/>
        </w:rPr>
        <w:t>’</w:t>
      </w:r>
      <w:r w:rsidRPr="004C2BDA">
        <w:rPr>
          <w:rFonts w:ascii="DIN Next LT" w:hAnsi="DIN Next LT" w:cs="DIN Next LT"/>
          <w:color w:val="343631"/>
          <w:kern w:val="0"/>
          <w:sz w:val="20"/>
          <w:szCs w:val="20"/>
          <w:u w:color="C76210"/>
        </w:rPr>
        <w:t>s consolidated financial statements but are not terms defined within the International Financial Reporting Standards (IFRS) as applied In the Kingdom of Saudi Arabia. Such information is provided as the Company believes they are useful measures for investors.</w:t>
      </w:r>
    </w:p>
    <w:p w14:paraId="5E70C7C7"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p>
    <w:p w14:paraId="27AD1255" w14:textId="77777777" w:rsidR="00FC652B" w:rsidRPr="004C2BDA" w:rsidRDefault="00FC652B" w:rsidP="00FC652B">
      <w:pPr>
        <w:autoSpaceDE w:val="0"/>
        <w:autoSpaceDN w:val="0"/>
        <w:adjustRightInd w:val="0"/>
        <w:spacing w:before="120" w:after="240" w:line="240" w:lineRule="auto"/>
        <w:jc w:val="both"/>
        <w:rPr>
          <w:rFonts w:ascii="DIN Next LT" w:hAnsi="DIN Next LT" w:cs="DIN Next LT"/>
          <w:color w:val="343631"/>
          <w:kern w:val="0"/>
          <w:sz w:val="20"/>
          <w:szCs w:val="20"/>
          <w:u w:color="C76210"/>
        </w:rPr>
      </w:pPr>
    </w:p>
    <w:p w14:paraId="35A6A0D3" w14:textId="5FD066DD" w:rsidR="002455D3" w:rsidRPr="004C2BDA" w:rsidRDefault="002455D3" w:rsidP="00795CDA">
      <w:pPr>
        <w:spacing w:before="120" w:after="240"/>
        <w:jc w:val="both"/>
        <w:rPr>
          <w:rFonts w:ascii="DIN Next LT" w:hAnsi="DIN Next LT" w:cs="DIN Next LT"/>
          <w:color w:val="000000" w:themeColor="text1"/>
          <w:sz w:val="22"/>
          <w:szCs w:val="22"/>
        </w:rPr>
      </w:pPr>
    </w:p>
    <w:p w14:paraId="02127C1E" w14:textId="77777777" w:rsidR="004D7588" w:rsidRPr="00FC652B" w:rsidRDefault="004D7588" w:rsidP="00E05864">
      <w:pPr>
        <w:spacing w:before="120" w:after="240"/>
        <w:rPr>
          <w:rFonts w:ascii="DIN Next LT" w:eastAsia="DINNextLTPro-Regular" w:hAnsi="DIN Next LT" w:cs="DIN Next LT"/>
          <w:color w:val="343631"/>
          <w:highlight w:val="yellow"/>
        </w:rPr>
      </w:pPr>
    </w:p>
    <w:sectPr w:rsidR="004D7588" w:rsidRPr="00FC652B" w:rsidSect="00D448FE">
      <w:footerReference w:type="default" r:id="rId11"/>
      <w:headerReference w:type="first" r:id="rId12"/>
      <w:footerReference w:type="first" r:id="rId13"/>
      <w:pgSz w:w="12240" w:h="15840"/>
      <w:pgMar w:top="158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AC0E" w14:textId="77777777" w:rsidR="001E6CDB" w:rsidRPr="004C2BDA" w:rsidRDefault="001E6CDB" w:rsidP="00EF1C9C">
      <w:pPr>
        <w:spacing w:after="0" w:line="240" w:lineRule="auto"/>
      </w:pPr>
      <w:r w:rsidRPr="004C2BDA">
        <w:separator/>
      </w:r>
    </w:p>
  </w:endnote>
  <w:endnote w:type="continuationSeparator" w:id="0">
    <w:p w14:paraId="5825BDCD" w14:textId="77777777" w:rsidR="001E6CDB" w:rsidRPr="004C2BDA" w:rsidRDefault="001E6CDB" w:rsidP="00EF1C9C">
      <w:pPr>
        <w:spacing w:after="0" w:line="240" w:lineRule="auto"/>
      </w:pPr>
      <w:r w:rsidRPr="004C2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IN Next LT">
    <w:altName w:val="Arial"/>
    <w:panose1 w:val="020B0503020203050203"/>
    <w:charset w:val="B2"/>
    <w:family w:val="swiss"/>
    <w:pitch w:val="variable"/>
    <w:sig w:usb0="8000202F" w:usb1="C000A04A" w:usb2="00000008" w:usb3="00000000" w:csb0="0000004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DIN Next LT Arabic">
    <w:altName w:val="DIN Next LT Arabic"/>
    <w:panose1 w:val="020B0604020202020204"/>
    <w:charset w:val="00"/>
    <w:family w:val="swiss"/>
    <w:pitch w:val="variable"/>
    <w:sig w:usb0="8000202F" w:usb1="C000A04A" w:usb2="00000008" w:usb3="00000000" w:csb0="00000041" w:csb1="00000000"/>
  </w:font>
  <w:font w:name="DINNextLTPro-Regular">
    <w:panose1 w:val="020B0604020202020204"/>
    <w:charset w:val="00"/>
    <w:family w:val="swiss"/>
    <w:pitch w:val="variable"/>
    <w:sig w:usb0="A00000AF" w:usb1="5000205B" w:usb2="00000000" w:usb3="00000000" w:csb0="0000009B" w:csb1="00000000"/>
  </w:font>
  <w:font w:name="NewRiyal">
    <w:altName w:val="Calibri"/>
    <w:panose1 w:val="020B06040202020202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A2A3" w14:textId="6FDC5B68" w:rsidR="007302CA" w:rsidRPr="004C2BDA" w:rsidRDefault="00730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5FD6" w14:textId="5ADB7C0A" w:rsidR="00D448FE" w:rsidRPr="004C2BDA" w:rsidRDefault="00D4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6CD6" w14:textId="77777777" w:rsidR="001E6CDB" w:rsidRPr="004C2BDA" w:rsidRDefault="001E6CDB" w:rsidP="00EF1C9C">
      <w:pPr>
        <w:spacing w:after="0" w:line="240" w:lineRule="auto"/>
      </w:pPr>
      <w:r w:rsidRPr="004C2BDA">
        <w:separator/>
      </w:r>
    </w:p>
  </w:footnote>
  <w:footnote w:type="continuationSeparator" w:id="0">
    <w:p w14:paraId="733FFAD0" w14:textId="77777777" w:rsidR="001E6CDB" w:rsidRPr="004C2BDA" w:rsidRDefault="001E6CDB" w:rsidP="00EF1C9C">
      <w:pPr>
        <w:spacing w:after="0" w:line="240" w:lineRule="auto"/>
      </w:pPr>
      <w:r w:rsidRPr="004C2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8D96" w14:textId="73AB8DD4" w:rsidR="00D448FE" w:rsidRPr="004C2BDA" w:rsidRDefault="00E034D1" w:rsidP="00D448FE">
    <w:pPr>
      <w:pStyle w:val="Header"/>
      <w:jc w:val="center"/>
    </w:pPr>
    <w:r w:rsidRPr="004C2BDA">
      <w:rPr>
        <w:noProof/>
      </w:rPr>
      <w:drawing>
        <wp:inline distT="0" distB="0" distL="0" distR="0" wp14:anchorId="244AE850" wp14:editId="79181E4C">
          <wp:extent cx="1618763" cy="575733"/>
          <wp:effectExtent l="0" t="0" r="0" b="0"/>
          <wp:docPr id="178509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90415" name="Picture 1785090415"/>
                  <pic:cNvPicPr/>
                </pic:nvPicPr>
                <pic:blipFill>
                  <a:blip r:embed="rId1">
                    <a:extLst>
                      <a:ext uri="{28A0092B-C50C-407E-A947-70E740481C1C}">
                        <a14:useLocalDpi xmlns:a14="http://schemas.microsoft.com/office/drawing/2010/main" val="0"/>
                      </a:ext>
                    </a:extLst>
                  </a:blip>
                  <a:stretch>
                    <a:fillRect/>
                  </a:stretch>
                </pic:blipFill>
                <pic:spPr>
                  <a:xfrm>
                    <a:off x="0" y="0"/>
                    <a:ext cx="1650004" cy="586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BD2577A"/>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636156"/>
    <w:multiLevelType w:val="hybridMultilevel"/>
    <w:tmpl w:val="DF3A5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25274"/>
    <w:multiLevelType w:val="hybridMultilevel"/>
    <w:tmpl w:val="84005D3A"/>
    <w:lvl w:ilvl="0" w:tplc="E7A41738">
      <w:numFmt w:val="bullet"/>
      <w:lvlText w:val="•"/>
      <w:lvlJc w:val="left"/>
      <w:pPr>
        <w:ind w:left="720" w:hanging="360"/>
      </w:pPr>
      <w:rPr>
        <w:rFonts w:ascii="DIN Next LT" w:eastAsiaTheme="minorHAnsi" w:hAnsi="DIN Next LT" w:cs="DIN Next LT"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C01F72"/>
    <w:multiLevelType w:val="hybridMultilevel"/>
    <w:tmpl w:val="D756B036"/>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 w15:restartNumberingAfterBreak="0">
    <w:nsid w:val="320E0491"/>
    <w:multiLevelType w:val="hybridMultilevel"/>
    <w:tmpl w:val="A8BA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1164C"/>
    <w:multiLevelType w:val="hybridMultilevel"/>
    <w:tmpl w:val="27D0C1E6"/>
    <w:lvl w:ilvl="0" w:tplc="E7A41738">
      <w:numFmt w:val="bullet"/>
      <w:lvlText w:val="•"/>
      <w:lvlJc w:val="left"/>
      <w:pPr>
        <w:ind w:left="720" w:hanging="360"/>
      </w:pPr>
      <w:rPr>
        <w:rFonts w:ascii="DIN Next LT" w:eastAsiaTheme="minorHAnsi" w:hAnsi="DIN Next LT" w:cs="DIN Next L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F3132"/>
    <w:multiLevelType w:val="hybridMultilevel"/>
    <w:tmpl w:val="D756B03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731850842">
    <w:abstractNumId w:val="5"/>
  </w:num>
  <w:num w:numId="2" w16cid:durableId="822938656">
    <w:abstractNumId w:val="7"/>
  </w:num>
  <w:num w:numId="3" w16cid:durableId="572200866">
    <w:abstractNumId w:val="4"/>
  </w:num>
  <w:num w:numId="4" w16cid:durableId="2073574643">
    <w:abstractNumId w:val="2"/>
  </w:num>
  <w:num w:numId="5" w16cid:durableId="1205677527">
    <w:abstractNumId w:val="0"/>
  </w:num>
  <w:num w:numId="6" w16cid:durableId="1168402073">
    <w:abstractNumId w:val="1"/>
  </w:num>
  <w:num w:numId="7" w16cid:durableId="1474374290">
    <w:abstractNumId w:val="6"/>
  </w:num>
  <w:num w:numId="8" w16cid:durableId="201525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34AC0"/>
    <w:rsid w:val="00001E02"/>
    <w:rsid w:val="0000287B"/>
    <w:rsid w:val="000036E8"/>
    <w:rsid w:val="000039AA"/>
    <w:rsid w:val="000054FD"/>
    <w:rsid w:val="0001083E"/>
    <w:rsid w:val="0001102E"/>
    <w:rsid w:val="0001226A"/>
    <w:rsid w:val="000151FE"/>
    <w:rsid w:val="0001671E"/>
    <w:rsid w:val="00021723"/>
    <w:rsid w:val="00023221"/>
    <w:rsid w:val="0002378C"/>
    <w:rsid w:val="000329C3"/>
    <w:rsid w:val="0003304F"/>
    <w:rsid w:val="00034129"/>
    <w:rsid w:val="00034D12"/>
    <w:rsid w:val="0003600E"/>
    <w:rsid w:val="0004382B"/>
    <w:rsid w:val="00043EC8"/>
    <w:rsid w:val="00045057"/>
    <w:rsid w:val="00045674"/>
    <w:rsid w:val="0005029D"/>
    <w:rsid w:val="000523AA"/>
    <w:rsid w:val="00060E51"/>
    <w:rsid w:val="000613FD"/>
    <w:rsid w:val="00062AE9"/>
    <w:rsid w:val="0006474F"/>
    <w:rsid w:val="000669D6"/>
    <w:rsid w:val="000706A2"/>
    <w:rsid w:val="00070BB0"/>
    <w:rsid w:val="0007463D"/>
    <w:rsid w:val="00074A4F"/>
    <w:rsid w:val="0007550C"/>
    <w:rsid w:val="000778E0"/>
    <w:rsid w:val="000829D5"/>
    <w:rsid w:val="00085561"/>
    <w:rsid w:val="00085F5D"/>
    <w:rsid w:val="00090069"/>
    <w:rsid w:val="00090EB5"/>
    <w:rsid w:val="00094883"/>
    <w:rsid w:val="0009619B"/>
    <w:rsid w:val="00096316"/>
    <w:rsid w:val="0009650C"/>
    <w:rsid w:val="000A01C1"/>
    <w:rsid w:val="000A4A17"/>
    <w:rsid w:val="000A4AF2"/>
    <w:rsid w:val="000A5286"/>
    <w:rsid w:val="000A76D6"/>
    <w:rsid w:val="000A7A8E"/>
    <w:rsid w:val="000A7C05"/>
    <w:rsid w:val="000A7D80"/>
    <w:rsid w:val="000B340B"/>
    <w:rsid w:val="000B3480"/>
    <w:rsid w:val="000B6970"/>
    <w:rsid w:val="000C4FE5"/>
    <w:rsid w:val="000C6677"/>
    <w:rsid w:val="000C7BFB"/>
    <w:rsid w:val="000D02FB"/>
    <w:rsid w:val="000D07C7"/>
    <w:rsid w:val="000D32A9"/>
    <w:rsid w:val="000D3AB6"/>
    <w:rsid w:val="000D45B1"/>
    <w:rsid w:val="000D4A26"/>
    <w:rsid w:val="000E2A98"/>
    <w:rsid w:val="000E338C"/>
    <w:rsid w:val="000E5605"/>
    <w:rsid w:val="000F56E3"/>
    <w:rsid w:val="000F60FD"/>
    <w:rsid w:val="000F6FF5"/>
    <w:rsid w:val="001007D8"/>
    <w:rsid w:val="00103494"/>
    <w:rsid w:val="001046E2"/>
    <w:rsid w:val="00106F79"/>
    <w:rsid w:val="00107459"/>
    <w:rsid w:val="0010775A"/>
    <w:rsid w:val="00107DF8"/>
    <w:rsid w:val="001122EB"/>
    <w:rsid w:val="001134DE"/>
    <w:rsid w:val="001141BD"/>
    <w:rsid w:val="00114D17"/>
    <w:rsid w:val="00120BF4"/>
    <w:rsid w:val="0012295D"/>
    <w:rsid w:val="001230B0"/>
    <w:rsid w:val="00123B02"/>
    <w:rsid w:val="0012464A"/>
    <w:rsid w:val="00124DF1"/>
    <w:rsid w:val="00125114"/>
    <w:rsid w:val="001254B2"/>
    <w:rsid w:val="00125ADB"/>
    <w:rsid w:val="00131D3A"/>
    <w:rsid w:val="00134318"/>
    <w:rsid w:val="001373B8"/>
    <w:rsid w:val="00141E56"/>
    <w:rsid w:val="00142F4F"/>
    <w:rsid w:val="0014326F"/>
    <w:rsid w:val="00143A9E"/>
    <w:rsid w:val="00145166"/>
    <w:rsid w:val="00147F16"/>
    <w:rsid w:val="00150136"/>
    <w:rsid w:val="00151945"/>
    <w:rsid w:val="00152BE4"/>
    <w:rsid w:val="0015436C"/>
    <w:rsid w:val="00154C72"/>
    <w:rsid w:val="00157883"/>
    <w:rsid w:val="00161E22"/>
    <w:rsid w:val="00161E72"/>
    <w:rsid w:val="001624E7"/>
    <w:rsid w:val="001632DC"/>
    <w:rsid w:val="00163C00"/>
    <w:rsid w:val="00165299"/>
    <w:rsid w:val="00166093"/>
    <w:rsid w:val="00166D0A"/>
    <w:rsid w:val="00167953"/>
    <w:rsid w:val="001705C9"/>
    <w:rsid w:val="00172B7C"/>
    <w:rsid w:val="0017547A"/>
    <w:rsid w:val="0017788F"/>
    <w:rsid w:val="001825D6"/>
    <w:rsid w:val="001836CF"/>
    <w:rsid w:val="001845A0"/>
    <w:rsid w:val="00187D35"/>
    <w:rsid w:val="00190CF4"/>
    <w:rsid w:val="0019103F"/>
    <w:rsid w:val="00191DCA"/>
    <w:rsid w:val="001A12D2"/>
    <w:rsid w:val="001A1A24"/>
    <w:rsid w:val="001A21A5"/>
    <w:rsid w:val="001A44ED"/>
    <w:rsid w:val="001A47DE"/>
    <w:rsid w:val="001A4F3F"/>
    <w:rsid w:val="001B16B5"/>
    <w:rsid w:val="001B2B28"/>
    <w:rsid w:val="001B3564"/>
    <w:rsid w:val="001B5CA2"/>
    <w:rsid w:val="001C41B9"/>
    <w:rsid w:val="001C4FD3"/>
    <w:rsid w:val="001D474E"/>
    <w:rsid w:val="001D4E21"/>
    <w:rsid w:val="001D7140"/>
    <w:rsid w:val="001D761E"/>
    <w:rsid w:val="001E0824"/>
    <w:rsid w:val="001E1680"/>
    <w:rsid w:val="001E25B2"/>
    <w:rsid w:val="001E3B1F"/>
    <w:rsid w:val="001E54A6"/>
    <w:rsid w:val="001E6CDB"/>
    <w:rsid w:val="001F09F1"/>
    <w:rsid w:val="001F148A"/>
    <w:rsid w:val="001F4E54"/>
    <w:rsid w:val="001F55CB"/>
    <w:rsid w:val="001F6D23"/>
    <w:rsid w:val="002055B0"/>
    <w:rsid w:val="00206CD4"/>
    <w:rsid w:val="00206EF1"/>
    <w:rsid w:val="0022009D"/>
    <w:rsid w:val="0022444C"/>
    <w:rsid w:val="00231E29"/>
    <w:rsid w:val="0023202A"/>
    <w:rsid w:val="0023225F"/>
    <w:rsid w:val="00242E28"/>
    <w:rsid w:val="002455D3"/>
    <w:rsid w:val="00245F82"/>
    <w:rsid w:val="00255AAE"/>
    <w:rsid w:val="00265150"/>
    <w:rsid w:val="00266484"/>
    <w:rsid w:val="002666D2"/>
    <w:rsid w:val="00270959"/>
    <w:rsid w:val="00273BBC"/>
    <w:rsid w:val="002758E8"/>
    <w:rsid w:val="0027603A"/>
    <w:rsid w:val="00276A50"/>
    <w:rsid w:val="00280A3F"/>
    <w:rsid w:val="00282F11"/>
    <w:rsid w:val="002854A0"/>
    <w:rsid w:val="00285A3F"/>
    <w:rsid w:val="0029166C"/>
    <w:rsid w:val="0029566B"/>
    <w:rsid w:val="00296FAC"/>
    <w:rsid w:val="002970B9"/>
    <w:rsid w:val="002A49CE"/>
    <w:rsid w:val="002A60E3"/>
    <w:rsid w:val="002A6DE2"/>
    <w:rsid w:val="002B1380"/>
    <w:rsid w:val="002B249B"/>
    <w:rsid w:val="002B3564"/>
    <w:rsid w:val="002B3F73"/>
    <w:rsid w:val="002B562A"/>
    <w:rsid w:val="002C007F"/>
    <w:rsid w:val="002C0D5D"/>
    <w:rsid w:val="002C6630"/>
    <w:rsid w:val="002D2443"/>
    <w:rsid w:val="002E11F6"/>
    <w:rsid w:val="002E2F45"/>
    <w:rsid w:val="002E367E"/>
    <w:rsid w:val="002F1041"/>
    <w:rsid w:val="002F24C1"/>
    <w:rsid w:val="002F267D"/>
    <w:rsid w:val="002F3501"/>
    <w:rsid w:val="002F7806"/>
    <w:rsid w:val="00300895"/>
    <w:rsid w:val="00301244"/>
    <w:rsid w:val="003030E7"/>
    <w:rsid w:val="00304EA2"/>
    <w:rsid w:val="00304F3A"/>
    <w:rsid w:val="00306CD0"/>
    <w:rsid w:val="00307F22"/>
    <w:rsid w:val="00311950"/>
    <w:rsid w:val="00311B6E"/>
    <w:rsid w:val="00311CF4"/>
    <w:rsid w:val="003135F8"/>
    <w:rsid w:val="003151D1"/>
    <w:rsid w:val="003156DB"/>
    <w:rsid w:val="00317778"/>
    <w:rsid w:val="0032010E"/>
    <w:rsid w:val="00323851"/>
    <w:rsid w:val="003253BB"/>
    <w:rsid w:val="003322B4"/>
    <w:rsid w:val="0033299B"/>
    <w:rsid w:val="003368FC"/>
    <w:rsid w:val="00342974"/>
    <w:rsid w:val="00345CCA"/>
    <w:rsid w:val="0035114A"/>
    <w:rsid w:val="00355AB3"/>
    <w:rsid w:val="0035738F"/>
    <w:rsid w:val="00363BF1"/>
    <w:rsid w:val="00366617"/>
    <w:rsid w:val="00366A94"/>
    <w:rsid w:val="00366AE6"/>
    <w:rsid w:val="0036756A"/>
    <w:rsid w:val="00367B30"/>
    <w:rsid w:val="00373545"/>
    <w:rsid w:val="00373D60"/>
    <w:rsid w:val="003755BD"/>
    <w:rsid w:val="00375831"/>
    <w:rsid w:val="003761F6"/>
    <w:rsid w:val="003814AA"/>
    <w:rsid w:val="00386918"/>
    <w:rsid w:val="00390713"/>
    <w:rsid w:val="00391DC2"/>
    <w:rsid w:val="0039322E"/>
    <w:rsid w:val="0039408A"/>
    <w:rsid w:val="00395B3E"/>
    <w:rsid w:val="00397B89"/>
    <w:rsid w:val="003A0DF6"/>
    <w:rsid w:val="003A3A56"/>
    <w:rsid w:val="003A3BED"/>
    <w:rsid w:val="003A4179"/>
    <w:rsid w:val="003A427A"/>
    <w:rsid w:val="003A6A7D"/>
    <w:rsid w:val="003A7D23"/>
    <w:rsid w:val="003B2C3E"/>
    <w:rsid w:val="003B2C7D"/>
    <w:rsid w:val="003B4466"/>
    <w:rsid w:val="003C0909"/>
    <w:rsid w:val="003C4F6D"/>
    <w:rsid w:val="003C755D"/>
    <w:rsid w:val="003D0CCF"/>
    <w:rsid w:val="003D50F2"/>
    <w:rsid w:val="003E01F6"/>
    <w:rsid w:val="003E4E4B"/>
    <w:rsid w:val="003E53B2"/>
    <w:rsid w:val="003E5581"/>
    <w:rsid w:val="003E59D7"/>
    <w:rsid w:val="003E5BFF"/>
    <w:rsid w:val="003F4518"/>
    <w:rsid w:val="0040604D"/>
    <w:rsid w:val="00407787"/>
    <w:rsid w:val="00407B30"/>
    <w:rsid w:val="004114F3"/>
    <w:rsid w:val="00413200"/>
    <w:rsid w:val="004132D7"/>
    <w:rsid w:val="004208D3"/>
    <w:rsid w:val="004244C0"/>
    <w:rsid w:val="00426A89"/>
    <w:rsid w:val="00431DA8"/>
    <w:rsid w:val="0043479F"/>
    <w:rsid w:val="00437C19"/>
    <w:rsid w:val="004415A6"/>
    <w:rsid w:val="0044285F"/>
    <w:rsid w:val="00442DB5"/>
    <w:rsid w:val="004430C3"/>
    <w:rsid w:val="00446F2A"/>
    <w:rsid w:val="00453C8C"/>
    <w:rsid w:val="004553AF"/>
    <w:rsid w:val="0045560D"/>
    <w:rsid w:val="0045590D"/>
    <w:rsid w:val="00455F34"/>
    <w:rsid w:val="0045783A"/>
    <w:rsid w:val="004578AD"/>
    <w:rsid w:val="00462A35"/>
    <w:rsid w:val="004665B0"/>
    <w:rsid w:val="00467A86"/>
    <w:rsid w:val="00471F63"/>
    <w:rsid w:val="004728A0"/>
    <w:rsid w:val="00481632"/>
    <w:rsid w:val="00481F60"/>
    <w:rsid w:val="0048551A"/>
    <w:rsid w:val="00485F57"/>
    <w:rsid w:val="004876FF"/>
    <w:rsid w:val="004911BB"/>
    <w:rsid w:val="00494AF9"/>
    <w:rsid w:val="00496E92"/>
    <w:rsid w:val="00496E97"/>
    <w:rsid w:val="004971DA"/>
    <w:rsid w:val="004A1C4C"/>
    <w:rsid w:val="004A1E33"/>
    <w:rsid w:val="004A476F"/>
    <w:rsid w:val="004A4CE3"/>
    <w:rsid w:val="004A5027"/>
    <w:rsid w:val="004B016E"/>
    <w:rsid w:val="004B0AB3"/>
    <w:rsid w:val="004B23BF"/>
    <w:rsid w:val="004B2B77"/>
    <w:rsid w:val="004B318E"/>
    <w:rsid w:val="004B7B4E"/>
    <w:rsid w:val="004C068C"/>
    <w:rsid w:val="004C09EF"/>
    <w:rsid w:val="004C2B30"/>
    <w:rsid w:val="004C2BDA"/>
    <w:rsid w:val="004C328B"/>
    <w:rsid w:val="004C58CA"/>
    <w:rsid w:val="004C7FF1"/>
    <w:rsid w:val="004D0A7D"/>
    <w:rsid w:val="004D0B52"/>
    <w:rsid w:val="004D0ECC"/>
    <w:rsid w:val="004D10B4"/>
    <w:rsid w:val="004D2896"/>
    <w:rsid w:val="004D2A1A"/>
    <w:rsid w:val="004D5F87"/>
    <w:rsid w:val="004D756D"/>
    <w:rsid w:val="004D7588"/>
    <w:rsid w:val="004D759D"/>
    <w:rsid w:val="004D7D34"/>
    <w:rsid w:val="004E2123"/>
    <w:rsid w:val="004F5806"/>
    <w:rsid w:val="005007DA"/>
    <w:rsid w:val="00503DEB"/>
    <w:rsid w:val="0050429C"/>
    <w:rsid w:val="005053E4"/>
    <w:rsid w:val="00506BB6"/>
    <w:rsid w:val="005101DB"/>
    <w:rsid w:val="00510371"/>
    <w:rsid w:val="00512714"/>
    <w:rsid w:val="005127AE"/>
    <w:rsid w:val="005147CB"/>
    <w:rsid w:val="00516960"/>
    <w:rsid w:val="00521C00"/>
    <w:rsid w:val="00522DFC"/>
    <w:rsid w:val="005232CF"/>
    <w:rsid w:val="00523A82"/>
    <w:rsid w:val="00523B37"/>
    <w:rsid w:val="00524933"/>
    <w:rsid w:val="00524C57"/>
    <w:rsid w:val="0052574E"/>
    <w:rsid w:val="0052661C"/>
    <w:rsid w:val="005275D0"/>
    <w:rsid w:val="00527D97"/>
    <w:rsid w:val="0053345A"/>
    <w:rsid w:val="0053511D"/>
    <w:rsid w:val="0053557C"/>
    <w:rsid w:val="005374B4"/>
    <w:rsid w:val="00537550"/>
    <w:rsid w:val="00537C16"/>
    <w:rsid w:val="0054245A"/>
    <w:rsid w:val="005450CB"/>
    <w:rsid w:val="00547040"/>
    <w:rsid w:val="005474E6"/>
    <w:rsid w:val="00551131"/>
    <w:rsid w:val="00551FF0"/>
    <w:rsid w:val="00553CB5"/>
    <w:rsid w:val="005546F2"/>
    <w:rsid w:val="005572B1"/>
    <w:rsid w:val="00560050"/>
    <w:rsid w:val="00561874"/>
    <w:rsid w:val="005624B9"/>
    <w:rsid w:val="0056394C"/>
    <w:rsid w:val="00567979"/>
    <w:rsid w:val="00567C99"/>
    <w:rsid w:val="005708BE"/>
    <w:rsid w:val="00580C5C"/>
    <w:rsid w:val="00581738"/>
    <w:rsid w:val="00584939"/>
    <w:rsid w:val="00590D69"/>
    <w:rsid w:val="00594F60"/>
    <w:rsid w:val="00595210"/>
    <w:rsid w:val="005A05A2"/>
    <w:rsid w:val="005A0875"/>
    <w:rsid w:val="005A21E5"/>
    <w:rsid w:val="005A5BA7"/>
    <w:rsid w:val="005B044B"/>
    <w:rsid w:val="005B3CA0"/>
    <w:rsid w:val="005B4028"/>
    <w:rsid w:val="005B5A93"/>
    <w:rsid w:val="005C0392"/>
    <w:rsid w:val="005C03D7"/>
    <w:rsid w:val="005C1ABB"/>
    <w:rsid w:val="005C1C2E"/>
    <w:rsid w:val="005C3C6E"/>
    <w:rsid w:val="005C6A01"/>
    <w:rsid w:val="005C6E97"/>
    <w:rsid w:val="005C6F1F"/>
    <w:rsid w:val="005D2CB2"/>
    <w:rsid w:val="005D468A"/>
    <w:rsid w:val="005D4F01"/>
    <w:rsid w:val="005D5AD7"/>
    <w:rsid w:val="005D75B3"/>
    <w:rsid w:val="005E27D5"/>
    <w:rsid w:val="005E38D7"/>
    <w:rsid w:val="005E3B5B"/>
    <w:rsid w:val="005E3DDF"/>
    <w:rsid w:val="005E4BE4"/>
    <w:rsid w:val="005E5AE5"/>
    <w:rsid w:val="005E60E4"/>
    <w:rsid w:val="005F04C2"/>
    <w:rsid w:val="005F60C9"/>
    <w:rsid w:val="005F62EC"/>
    <w:rsid w:val="005F76E7"/>
    <w:rsid w:val="00600FFD"/>
    <w:rsid w:val="00602CB2"/>
    <w:rsid w:val="00605EB1"/>
    <w:rsid w:val="006137A6"/>
    <w:rsid w:val="006171EA"/>
    <w:rsid w:val="0062268F"/>
    <w:rsid w:val="00622F2B"/>
    <w:rsid w:val="006245B7"/>
    <w:rsid w:val="00624AC2"/>
    <w:rsid w:val="00627269"/>
    <w:rsid w:val="00632262"/>
    <w:rsid w:val="00635C85"/>
    <w:rsid w:val="00636B9B"/>
    <w:rsid w:val="0064037A"/>
    <w:rsid w:val="00643B6C"/>
    <w:rsid w:val="006444D0"/>
    <w:rsid w:val="00646CC7"/>
    <w:rsid w:val="00652215"/>
    <w:rsid w:val="00652A6B"/>
    <w:rsid w:val="00654731"/>
    <w:rsid w:val="0065491B"/>
    <w:rsid w:val="006553B5"/>
    <w:rsid w:val="00670985"/>
    <w:rsid w:val="0067296B"/>
    <w:rsid w:val="00680AB2"/>
    <w:rsid w:val="00684559"/>
    <w:rsid w:val="0068618D"/>
    <w:rsid w:val="00686377"/>
    <w:rsid w:val="006928DC"/>
    <w:rsid w:val="006933AA"/>
    <w:rsid w:val="00695FED"/>
    <w:rsid w:val="006A501B"/>
    <w:rsid w:val="006A66C2"/>
    <w:rsid w:val="006B1C3A"/>
    <w:rsid w:val="006B4FEB"/>
    <w:rsid w:val="006B638F"/>
    <w:rsid w:val="006B7B29"/>
    <w:rsid w:val="006B7EE1"/>
    <w:rsid w:val="006C52B5"/>
    <w:rsid w:val="006C537A"/>
    <w:rsid w:val="006C5A5A"/>
    <w:rsid w:val="006D5D3B"/>
    <w:rsid w:val="006D6236"/>
    <w:rsid w:val="006D7EE1"/>
    <w:rsid w:val="006E01F8"/>
    <w:rsid w:val="006E23C6"/>
    <w:rsid w:val="006E76C0"/>
    <w:rsid w:val="006F0229"/>
    <w:rsid w:val="006F410F"/>
    <w:rsid w:val="006F7DDF"/>
    <w:rsid w:val="007053D8"/>
    <w:rsid w:val="00705F81"/>
    <w:rsid w:val="00707F36"/>
    <w:rsid w:val="007101EF"/>
    <w:rsid w:val="00710AF1"/>
    <w:rsid w:val="00712D95"/>
    <w:rsid w:val="00714129"/>
    <w:rsid w:val="00716F98"/>
    <w:rsid w:val="007203F0"/>
    <w:rsid w:val="00721109"/>
    <w:rsid w:val="0072131C"/>
    <w:rsid w:val="00721853"/>
    <w:rsid w:val="00724790"/>
    <w:rsid w:val="007302CA"/>
    <w:rsid w:val="007352F6"/>
    <w:rsid w:val="007376E4"/>
    <w:rsid w:val="00741432"/>
    <w:rsid w:val="00742B94"/>
    <w:rsid w:val="00742F93"/>
    <w:rsid w:val="007448E1"/>
    <w:rsid w:val="00744F4C"/>
    <w:rsid w:val="0074669D"/>
    <w:rsid w:val="00746DD5"/>
    <w:rsid w:val="00752285"/>
    <w:rsid w:val="00756933"/>
    <w:rsid w:val="0075707A"/>
    <w:rsid w:val="00757608"/>
    <w:rsid w:val="007608FF"/>
    <w:rsid w:val="00761509"/>
    <w:rsid w:val="00761FF4"/>
    <w:rsid w:val="00765ED7"/>
    <w:rsid w:val="0076712D"/>
    <w:rsid w:val="007679EA"/>
    <w:rsid w:val="00767D0E"/>
    <w:rsid w:val="007704B0"/>
    <w:rsid w:val="00770E7E"/>
    <w:rsid w:val="007730B9"/>
    <w:rsid w:val="00780937"/>
    <w:rsid w:val="00783F7E"/>
    <w:rsid w:val="0078595F"/>
    <w:rsid w:val="0078663C"/>
    <w:rsid w:val="0078693D"/>
    <w:rsid w:val="00792495"/>
    <w:rsid w:val="00792C17"/>
    <w:rsid w:val="00794ADA"/>
    <w:rsid w:val="0079517E"/>
    <w:rsid w:val="00795CDA"/>
    <w:rsid w:val="00796959"/>
    <w:rsid w:val="007A0BFF"/>
    <w:rsid w:val="007A1206"/>
    <w:rsid w:val="007A1AB1"/>
    <w:rsid w:val="007A1F44"/>
    <w:rsid w:val="007A26E1"/>
    <w:rsid w:val="007A371F"/>
    <w:rsid w:val="007A50DE"/>
    <w:rsid w:val="007B1079"/>
    <w:rsid w:val="007B3F09"/>
    <w:rsid w:val="007B6FE8"/>
    <w:rsid w:val="007B745F"/>
    <w:rsid w:val="007B7705"/>
    <w:rsid w:val="007C4AA1"/>
    <w:rsid w:val="007C76E0"/>
    <w:rsid w:val="007D0E30"/>
    <w:rsid w:val="007D3087"/>
    <w:rsid w:val="007D32A9"/>
    <w:rsid w:val="007D4B08"/>
    <w:rsid w:val="007E2537"/>
    <w:rsid w:val="007E31A3"/>
    <w:rsid w:val="007E6C38"/>
    <w:rsid w:val="007E7F6B"/>
    <w:rsid w:val="007F1BE2"/>
    <w:rsid w:val="007F3A22"/>
    <w:rsid w:val="008015DC"/>
    <w:rsid w:val="00802CC4"/>
    <w:rsid w:val="00802DBF"/>
    <w:rsid w:val="00803708"/>
    <w:rsid w:val="0080418A"/>
    <w:rsid w:val="00804DF5"/>
    <w:rsid w:val="00805DBE"/>
    <w:rsid w:val="00807CAF"/>
    <w:rsid w:val="00815AC2"/>
    <w:rsid w:val="00816EA3"/>
    <w:rsid w:val="008204ED"/>
    <w:rsid w:val="008219F4"/>
    <w:rsid w:val="00824E91"/>
    <w:rsid w:val="0082654D"/>
    <w:rsid w:val="00826BE7"/>
    <w:rsid w:val="008274BD"/>
    <w:rsid w:val="0083157D"/>
    <w:rsid w:val="00835FAA"/>
    <w:rsid w:val="00836D8C"/>
    <w:rsid w:val="00841EBE"/>
    <w:rsid w:val="00841F33"/>
    <w:rsid w:val="00843349"/>
    <w:rsid w:val="00854C0C"/>
    <w:rsid w:val="00857585"/>
    <w:rsid w:val="00857FDF"/>
    <w:rsid w:val="00863BB6"/>
    <w:rsid w:val="00866B5F"/>
    <w:rsid w:val="0087049C"/>
    <w:rsid w:val="00875C7A"/>
    <w:rsid w:val="00881B33"/>
    <w:rsid w:val="0088582E"/>
    <w:rsid w:val="00886F48"/>
    <w:rsid w:val="0089284B"/>
    <w:rsid w:val="00893219"/>
    <w:rsid w:val="0089387A"/>
    <w:rsid w:val="00893B2C"/>
    <w:rsid w:val="00893FF8"/>
    <w:rsid w:val="00897F0A"/>
    <w:rsid w:val="008A1153"/>
    <w:rsid w:val="008A1BF8"/>
    <w:rsid w:val="008A24BC"/>
    <w:rsid w:val="008A7249"/>
    <w:rsid w:val="008A7B94"/>
    <w:rsid w:val="008A7D80"/>
    <w:rsid w:val="008B3261"/>
    <w:rsid w:val="008B3820"/>
    <w:rsid w:val="008B5588"/>
    <w:rsid w:val="008B7993"/>
    <w:rsid w:val="008B7A0E"/>
    <w:rsid w:val="008C1803"/>
    <w:rsid w:val="008C2C9C"/>
    <w:rsid w:val="008C363F"/>
    <w:rsid w:val="008C41F9"/>
    <w:rsid w:val="008C4284"/>
    <w:rsid w:val="008C4513"/>
    <w:rsid w:val="008C6764"/>
    <w:rsid w:val="008C67BE"/>
    <w:rsid w:val="008C6B65"/>
    <w:rsid w:val="008D1321"/>
    <w:rsid w:val="008D1B47"/>
    <w:rsid w:val="008D2684"/>
    <w:rsid w:val="008D2D82"/>
    <w:rsid w:val="008D2F0A"/>
    <w:rsid w:val="008D7923"/>
    <w:rsid w:val="008E1E49"/>
    <w:rsid w:val="008E33DC"/>
    <w:rsid w:val="008E3C30"/>
    <w:rsid w:val="008E4F81"/>
    <w:rsid w:val="008E51FB"/>
    <w:rsid w:val="008E56BB"/>
    <w:rsid w:val="008E73DD"/>
    <w:rsid w:val="008F2F2C"/>
    <w:rsid w:val="008F3913"/>
    <w:rsid w:val="00901B59"/>
    <w:rsid w:val="00906651"/>
    <w:rsid w:val="0090792B"/>
    <w:rsid w:val="00915744"/>
    <w:rsid w:val="00917053"/>
    <w:rsid w:val="009215AC"/>
    <w:rsid w:val="00921894"/>
    <w:rsid w:val="0092321B"/>
    <w:rsid w:val="00923260"/>
    <w:rsid w:val="009253A0"/>
    <w:rsid w:val="0093172E"/>
    <w:rsid w:val="00931E06"/>
    <w:rsid w:val="00932BBB"/>
    <w:rsid w:val="00934CCA"/>
    <w:rsid w:val="0093528B"/>
    <w:rsid w:val="009419E2"/>
    <w:rsid w:val="00944DEA"/>
    <w:rsid w:val="009500C5"/>
    <w:rsid w:val="00957149"/>
    <w:rsid w:val="00957BDE"/>
    <w:rsid w:val="0096046E"/>
    <w:rsid w:val="009609F7"/>
    <w:rsid w:val="00963802"/>
    <w:rsid w:val="009658F1"/>
    <w:rsid w:val="00967FB5"/>
    <w:rsid w:val="00971320"/>
    <w:rsid w:val="00972CEC"/>
    <w:rsid w:val="00975135"/>
    <w:rsid w:val="0097535D"/>
    <w:rsid w:val="009757BE"/>
    <w:rsid w:val="00976507"/>
    <w:rsid w:val="00977898"/>
    <w:rsid w:val="00980E1A"/>
    <w:rsid w:val="009846FD"/>
    <w:rsid w:val="0098656A"/>
    <w:rsid w:val="009939B8"/>
    <w:rsid w:val="009946B3"/>
    <w:rsid w:val="00994DD7"/>
    <w:rsid w:val="009956BB"/>
    <w:rsid w:val="009A0C69"/>
    <w:rsid w:val="009A16FA"/>
    <w:rsid w:val="009A38B7"/>
    <w:rsid w:val="009A3F68"/>
    <w:rsid w:val="009A502D"/>
    <w:rsid w:val="009A5953"/>
    <w:rsid w:val="009B06B0"/>
    <w:rsid w:val="009B377C"/>
    <w:rsid w:val="009B490E"/>
    <w:rsid w:val="009C0D49"/>
    <w:rsid w:val="009C757F"/>
    <w:rsid w:val="009C7FB8"/>
    <w:rsid w:val="009D0C72"/>
    <w:rsid w:val="009D1E1B"/>
    <w:rsid w:val="009D2221"/>
    <w:rsid w:val="009D2A5B"/>
    <w:rsid w:val="009D36E1"/>
    <w:rsid w:val="009D5A14"/>
    <w:rsid w:val="009D5E97"/>
    <w:rsid w:val="009D674F"/>
    <w:rsid w:val="009D7333"/>
    <w:rsid w:val="009E0027"/>
    <w:rsid w:val="009E0483"/>
    <w:rsid w:val="009E2E43"/>
    <w:rsid w:val="009E3DDF"/>
    <w:rsid w:val="009E59AA"/>
    <w:rsid w:val="009F2A05"/>
    <w:rsid w:val="009F3330"/>
    <w:rsid w:val="009F3AC0"/>
    <w:rsid w:val="009F410C"/>
    <w:rsid w:val="009F4AC0"/>
    <w:rsid w:val="009F4C21"/>
    <w:rsid w:val="009F75B8"/>
    <w:rsid w:val="00A02E15"/>
    <w:rsid w:val="00A0569F"/>
    <w:rsid w:val="00A05D8A"/>
    <w:rsid w:val="00A06FAB"/>
    <w:rsid w:val="00A10204"/>
    <w:rsid w:val="00A125C3"/>
    <w:rsid w:val="00A13536"/>
    <w:rsid w:val="00A13869"/>
    <w:rsid w:val="00A13C83"/>
    <w:rsid w:val="00A1470F"/>
    <w:rsid w:val="00A20039"/>
    <w:rsid w:val="00A21150"/>
    <w:rsid w:val="00A23720"/>
    <w:rsid w:val="00A243E5"/>
    <w:rsid w:val="00A250EE"/>
    <w:rsid w:val="00A25404"/>
    <w:rsid w:val="00A25433"/>
    <w:rsid w:val="00A302FE"/>
    <w:rsid w:val="00A34AC0"/>
    <w:rsid w:val="00A35415"/>
    <w:rsid w:val="00A36125"/>
    <w:rsid w:val="00A36B7C"/>
    <w:rsid w:val="00A36EE7"/>
    <w:rsid w:val="00A3706E"/>
    <w:rsid w:val="00A42513"/>
    <w:rsid w:val="00A44763"/>
    <w:rsid w:val="00A4717C"/>
    <w:rsid w:val="00A47E1E"/>
    <w:rsid w:val="00A51002"/>
    <w:rsid w:val="00A51FF7"/>
    <w:rsid w:val="00A52BFB"/>
    <w:rsid w:val="00A53544"/>
    <w:rsid w:val="00A54D72"/>
    <w:rsid w:val="00A566C8"/>
    <w:rsid w:val="00A629FE"/>
    <w:rsid w:val="00A62E1F"/>
    <w:rsid w:val="00A65A90"/>
    <w:rsid w:val="00A66F92"/>
    <w:rsid w:val="00A71DD4"/>
    <w:rsid w:val="00A753E2"/>
    <w:rsid w:val="00A80E6C"/>
    <w:rsid w:val="00A82495"/>
    <w:rsid w:val="00A827EE"/>
    <w:rsid w:val="00A82E44"/>
    <w:rsid w:val="00A85AC2"/>
    <w:rsid w:val="00A87BC1"/>
    <w:rsid w:val="00A87D66"/>
    <w:rsid w:val="00A90678"/>
    <w:rsid w:val="00A92399"/>
    <w:rsid w:val="00A94922"/>
    <w:rsid w:val="00A96B9C"/>
    <w:rsid w:val="00A973C9"/>
    <w:rsid w:val="00AA0462"/>
    <w:rsid w:val="00AA1E5B"/>
    <w:rsid w:val="00AA65FC"/>
    <w:rsid w:val="00AA7716"/>
    <w:rsid w:val="00AA7FAA"/>
    <w:rsid w:val="00AB0483"/>
    <w:rsid w:val="00AB1505"/>
    <w:rsid w:val="00AB34BF"/>
    <w:rsid w:val="00AC0210"/>
    <w:rsid w:val="00AC7963"/>
    <w:rsid w:val="00AC7A77"/>
    <w:rsid w:val="00AD01ED"/>
    <w:rsid w:val="00AD047D"/>
    <w:rsid w:val="00AD0E73"/>
    <w:rsid w:val="00AD1E90"/>
    <w:rsid w:val="00AD7073"/>
    <w:rsid w:val="00AE0345"/>
    <w:rsid w:val="00AE0879"/>
    <w:rsid w:val="00AE77D6"/>
    <w:rsid w:val="00B0260A"/>
    <w:rsid w:val="00B03559"/>
    <w:rsid w:val="00B04A2A"/>
    <w:rsid w:val="00B05AC7"/>
    <w:rsid w:val="00B0691F"/>
    <w:rsid w:val="00B13D71"/>
    <w:rsid w:val="00B13DBA"/>
    <w:rsid w:val="00B14791"/>
    <w:rsid w:val="00B16485"/>
    <w:rsid w:val="00B17D25"/>
    <w:rsid w:val="00B22067"/>
    <w:rsid w:val="00B230F4"/>
    <w:rsid w:val="00B23B57"/>
    <w:rsid w:val="00B23D32"/>
    <w:rsid w:val="00B24F6D"/>
    <w:rsid w:val="00B30C71"/>
    <w:rsid w:val="00B312C3"/>
    <w:rsid w:val="00B31D24"/>
    <w:rsid w:val="00B32679"/>
    <w:rsid w:val="00B34910"/>
    <w:rsid w:val="00B4223D"/>
    <w:rsid w:val="00B43295"/>
    <w:rsid w:val="00B43C01"/>
    <w:rsid w:val="00B4534D"/>
    <w:rsid w:val="00B51FA1"/>
    <w:rsid w:val="00B524F6"/>
    <w:rsid w:val="00B5251F"/>
    <w:rsid w:val="00B5409F"/>
    <w:rsid w:val="00B54C18"/>
    <w:rsid w:val="00B54E6F"/>
    <w:rsid w:val="00B561A0"/>
    <w:rsid w:val="00B63766"/>
    <w:rsid w:val="00B63DA7"/>
    <w:rsid w:val="00B66B14"/>
    <w:rsid w:val="00B676A8"/>
    <w:rsid w:val="00B72B3C"/>
    <w:rsid w:val="00B76D54"/>
    <w:rsid w:val="00B770B1"/>
    <w:rsid w:val="00B80D30"/>
    <w:rsid w:val="00B8187C"/>
    <w:rsid w:val="00B84643"/>
    <w:rsid w:val="00B87096"/>
    <w:rsid w:val="00B938A3"/>
    <w:rsid w:val="00B95BE6"/>
    <w:rsid w:val="00B96495"/>
    <w:rsid w:val="00B9788B"/>
    <w:rsid w:val="00BA20B3"/>
    <w:rsid w:val="00BA56D3"/>
    <w:rsid w:val="00BA7245"/>
    <w:rsid w:val="00BB016C"/>
    <w:rsid w:val="00BB0D82"/>
    <w:rsid w:val="00BB0DB5"/>
    <w:rsid w:val="00BB5B73"/>
    <w:rsid w:val="00BB630B"/>
    <w:rsid w:val="00BC28A7"/>
    <w:rsid w:val="00BC3340"/>
    <w:rsid w:val="00BC5CD2"/>
    <w:rsid w:val="00BC6C86"/>
    <w:rsid w:val="00BD0A00"/>
    <w:rsid w:val="00BD141D"/>
    <w:rsid w:val="00BD28BE"/>
    <w:rsid w:val="00BD3B94"/>
    <w:rsid w:val="00BD52E7"/>
    <w:rsid w:val="00BD658B"/>
    <w:rsid w:val="00BD756B"/>
    <w:rsid w:val="00BE15D4"/>
    <w:rsid w:val="00BE218B"/>
    <w:rsid w:val="00BE2D17"/>
    <w:rsid w:val="00BE5909"/>
    <w:rsid w:val="00BE7A3D"/>
    <w:rsid w:val="00BF0F28"/>
    <w:rsid w:val="00BF4DBD"/>
    <w:rsid w:val="00BF5129"/>
    <w:rsid w:val="00BF5512"/>
    <w:rsid w:val="00C00E72"/>
    <w:rsid w:val="00C168FE"/>
    <w:rsid w:val="00C17519"/>
    <w:rsid w:val="00C17D1D"/>
    <w:rsid w:val="00C224B3"/>
    <w:rsid w:val="00C321CB"/>
    <w:rsid w:val="00C324AE"/>
    <w:rsid w:val="00C3367F"/>
    <w:rsid w:val="00C358DB"/>
    <w:rsid w:val="00C363C1"/>
    <w:rsid w:val="00C376ED"/>
    <w:rsid w:val="00C40F29"/>
    <w:rsid w:val="00C4148C"/>
    <w:rsid w:val="00C430D1"/>
    <w:rsid w:val="00C435E5"/>
    <w:rsid w:val="00C439B4"/>
    <w:rsid w:val="00C51C5C"/>
    <w:rsid w:val="00C527B7"/>
    <w:rsid w:val="00C54C38"/>
    <w:rsid w:val="00C557BB"/>
    <w:rsid w:val="00C573A0"/>
    <w:rsid w:val="00C60990"/>
    <w:rsid w:val="00C60CF8"/>
    <w:rsid w:val="00C6144F"/>
    <w:rsid w:val="00C615D5"/>
    <w:rsid w:val="00C6248B"/>
    <w:rsid w:val="00C64360"/>
    <w:rsid w:val="00C646A1"/>
    <w:rsid w:val="00C6489C"/>
    <w:rsid w:val="00C72F67"/>
    <w:rsid w:val="00C730DC"/>
    <w:rsid w:val="00C746A0"/>
    <w:rsid w:val="00C767EA"/>
    <w:rsid w:val="00C77F7C"/>
    <w:rsid w:val="00C86544"/>
    <w:rsid w:val="00C90506"/>
    <w:rsid w:val="00C90BE0"/>
    <w:rsid w:val="00C93227"/>
    <w:rsid w:val="00C937F7"/>
    <w:rsid w:val="00C9611E"/>
    <w:rsid w:val="00C96ED5"/>
    <w:rsid w:val="00CA26C3"/>
    <w:rsid w:val="00CA3ABD"/>
    <w:rsid w:val="00CA6875"/>
    <w:rsid w:val="00CB0995"/>
    <w:rsid w:val="00CB0A1C"/>
    <w:rsid w:val="00CB2281"/>
    <w:rsid w:val="00CB520E"/>
    <w:rsid w:val="00CB73E2"/>
    <w:rsid w:val="00CB7487"/>
    <w:rsid w:val="00CC0A54"/>
    <w:rsid w:val="00CD00A4"/>
    <w:rsid w:val="00CD57BF"/>
    <w:rsid w:val="00CD7A9C"/>
    <w:rsid w:val="00CD7E80"/>
    <w:rsid w:val="00CE005B"/>
    <w:rsid w:val="00CE2BF6"/>
    <w:rsid w:val="00CE3F77"/>
    <w:rsid w:val="00CE457E"/>
    <w:rsid w:val="00CE652F"/>
    <w:rsid w:val="00CE6EA9"/>
    <w:rsid w:val="00CE6EB4"/>
    <w:rsid w:val="00CF1876"/>
    <w:rsid w:val="00CF18D5"/>
    <w:rsid w:val="00CF3D88"/>
    <w:rsid w:val="00CF6C07"/>
    <w:rsid w:val="00CF7DE6"/>
    <w:rsid w:val="00D01E34"/>
    <w:rsid w:val="00D072DF"/>
    <w:rsid w:val="00D111D9"/>
    <w:rsid w:val="00D11FA5"/>
    <w:rsid w:val="00D16BF8"/>
    <w:rsid w:val="00D1766B"/>
    <w:rsid w:val="00D2024A"/>
    <w:rsid w:val="00D2246A"/>
    <w:rsid w:val="00D23488"/>
    <w:rsid w:val="00D24364"/>
    <w:rsid w:val="00D30376"/>
    <w:rsid w:val="00D30F5E"/>
    <w:rsid w:val="00D31F60"/>
    <w:rsid w:val="00D35930"/>
    <w:rsid w:val="00D403B3"/>
    <w:rsid w:val="00D448FE"/>
    <w:rsid w:val="00D44ADF"/>
    <w:rsid w:val="00D45963"/>
    <w:rsid w:val="00D46B33"/>
    <w:rsid w:val="00D53C7C"/>
    <w:rsid w:val="00D5482B"/>
    <w:rsid w:val="00D55FF8"/>
    <w:rsid w:val="00D6003F"/>
    <w:rsid w:val="00D7755C"/>
    <w:rsid w:val="00D82B77"/>
    <w:rsid w:val="00D83BF6"/>
    <w:rsid w:val="00D84943"/>
    <w:rsid w:val="00D90CD9"/>
    <w:rsid w:val="00D9233E"/>
    <w:rsid w:val="00D92E83"/>
    <w:rsid w:val="00D94018"/>
    <w:rsid w:val="00D974D5"/>
    <w:rsid w:val="00DA21C0"/>
    <w:rsid w:val="00DA6869"/>
    <w:rsid w:val="00DB1983"/>
    <w:rsid w:val="00DB3F52"/>
    <w:rsid w:val="00DB5C76"/>
    <w:rsid w:val="00DC07BB"/>
    <w:rsid w:val="00DC18CE"/>
    <w:rsid w:val="00DC1BA0"/>
    <w:rsid w:val="00DC25F1"/>
    <w:rsid w:val="00DC5949"/>
    <w:rsid w:val="00DD01EE"/>
    <w:rsid w:val="00DD0B6C"/>
    <w:rsid w:val="00DD19F7"/>
    <w:rsid w:val="00DD3D0E"/>
    <w:rsid w:val="00DD45B6"/>
    <w:rsid w:val="00DD4E59"/>
    <w:rsid w:val="00DD6C54"/>
    <w:rsid w:val="00DE2581"/>
    <w:rsid w:val="00DE4CE2"/>
    <w:rsid w:val="00DE4D77"/>
    <w:rsid w:val="00DE616B"/>
    <w:rsid w:val="00DE65F0"/>
    <w:rsid w:val="00DF3DB3"/>
    <w:rsid w:val="00DF46D7"/>
    <w:rsid w:val="00DF6C0A"/>
    <w:rsid w:val="00DF75D6"/>
    <w:rsid w:val="00E002E3"/>
    <w:rsid w:val="00E034D1"/>
    <w:rsid w:val="00E03D03"/>
    <w:rsid w:val="00E05412"/>
    <w:rsid w:val="00E05864"/>
    <w:rsid w:val="00E06313"/>
    <w:rsid w:val="00E073B2"/>
    <w:rsid w:val="00E1344B"/>
    <w:rsid w:val="00E14C22"/>
    <w:rsid w:val="00E15FF8"/>
    <w:rsid w:val="00E17901"/>
    <w:rsid w:val="00E203D5"/>
    <w:rsid w:val="00E2538A"/>
    <w:rsid w:val="00E26273"/>
    <w:rsid w:val="00E339D7"/>
    <w:rsid w:val="00E33DDF"/>
    <w:rsid w:val="00E359C0"/>
    <w:rsid w:val="00E37E74"/>
    <w:rsid w:val="00E405F1"/>
    <w:rsid w:val="00E457F8"/>
    <w:rsid w:val="00E45BEB"/>
    <w:rsid w:val="00E45F1D"/>
    <w:rsid w:val="00E558D7"/>
    <w:rsid w:val="00E60BA3"/>
    <w:rsid w:val="00E621B8"/>
    <w:rsid w:val="00E624E1"/>
    <w:rsid w:val="00E637DF"/>
    <w:rsid w:val="00E63B96"/>
    <w:rsid w:val="00E64B88"/>
    <w:rsid w:val="00E655AD"/>
    <w:rsid w:val="00E660E1"/>
    <w:rsid w:val="00E720BB"/>
    <w:rsid w:val="00E772D0"/>
    <w:rsid w:val="00E77A89"/>
    <w:rsid w:val="00E81321"/>
    <w:rsid w:val="00E83154"/>
    <w:rsid w:val="00E84920"/>
    <w:rsid w:val="00E91C61"/>
    <w:rsid w:val="00E92A61"/>
    <w:rsid w:val="00E94E5F"/>
    <w:rsid w:val="00E97FE2"/>
    <w:rsid w:val="00EA0E67"/>
    <w:rsid w:val="00EA51AC"/>
    <w:rsid w:val="00EA727A"/>
    <w:rsid w:val="00EB53DC"/>
    <w:rsid w:val="00EC10DD"/>
    <w:rsid w:val="00EC31B9"/>
    <w:rsid w:val="00EC34EF"/>
    <w:rsid w:val="00EC5364"/>
    <w:rsid w:val="00EC7C9E"/>
    <w:rsid w:val="00ED09A9"/>
    <w:rsid w:val="00ED16BA"/>
    <w:rsid w:val="00EE00AA"/>
    <w:rsid w:val="00EE1251"/>
    <w:rsid w:val="00EE32ED"/>
    <w:rsid w:val="00EE42F5"/>
    <w:rsid w:val="00EE52DB"/>
    <w:rsid w:val="00EE5601"/>
    <w:rsid w:val="00EF1C9C"/>
    <w:rsid w:val="00EF2318"/>
    <w:rsid w:val="00EF5AE5"/>
    <w:rsid w:val="00EF6164"/>
    <w:rsid w:val="00EF7E37"/>
    <w:rsid w:val="00F02BB4"/>
    <w:rsid w:val="00F04A4A"/>
    <w:rsid w:val="00F10F71"/>
    <w:rsid w:val="00F11C6F"/>
    <w:rsid w:val="00F14D5F"/>
    <w:rsid w:val="00F15223"/>
    <w:rsid w:val="00F15F75"/>
    <w:rsid w:val="00F202CF"/>
    <w:rsid w:val="00F207BF"/>
    <w:rsid w:val="00F24A19"/>
    <w:rsid w:val="00F331D9"/>
    <w:rsid w:val="00F37590"/>
    <w:rsid w:val="00F37A2E"/>
    <w:rsid w:val="00F40962"/>
    <w:rsid w:val="00F41375"/>
    <w:rsid w:val="00F42487"/>
    <w:rsid w:val="00F44115"/>
    <w:rsid w:val="00F44CAD"/>
    <w:rsid w:val="00F45335"/>
    <w:rsid w:val="00F45901"/>
    <w:rsid w:val="00F474A8"/>
    <w:rsid w:val="00F4757B"/>
    <w:rsid w:val="00F50B7E"/>
    <w:rsid w:val="00F50FA8"/>
    <w:rsid w:val="00F50FAC"/>
    <w:rsid w:val="00F516C1"/>
    <w:rsid w:val="00F52460"/>
    <w:rsid w:val="00F536E4"/>
    <w:rsid w:val="00F53BCD"/>
    <w:rsid w:val="00F54A4E"/>
    <w:rsid w:val="00F56015"/>
    <w:rsid w:val="00F56732"/>
    <w:rsid w:val="00F56836"/>
    <w:rsid w:val="00F62B8B"/>
    <w:rsid w:val="00F643BF"/>
    <w:rsid w:val="00F71F6E"/>
    <w:rsid w:val="00F7226E"/>
    <w:rsid w:val="00F743ED"/>
    <w:rsid w:val="00F7444D"/>
    <w:rsid w:val="00F768EE"/>
    <w:rsid w:val="00F812D8"/>
    <w:rsid w:val="00F81F24"/>
    <w:rsid w:val="00F8221A"/>
    <w:rsid w:val="00F8422D"/>
    <w:rsid w:val="00F842B1"/>
    <w:rsid w:val="00F84B60"/>
    <w:rsid w:val="00F866F0"/>
    <w:rsid w:val="00F924AB"/>
    <w:rsid w:val="00F931A2"/>
    <w:rsid w:val="00F9360C"/>
    <w:rsid w:val="00F965DE"/>
    <w:rsid w:val="00F9680D"/>
    <w:rsid w:val="00FA1536"/>
    <w:rsid w:val="00FA2590"/>
    <w:rsid w:val="00FA2D34"/>
    <w:rsid w:val="00FA38C9"/>
    <w:rsid w:val="00FA3EA0"/>
    <w:rsid w:val="00FA6DD9"/>
    <w:rsid w:val="00FB2154"/>
    <w:rsid w:val="00FB5C83"/>
    <w:rsid w:val="00FC07CD"/>
    <w:rsid w:val="00FC1D4C"/>
    <w:rsid w:val="00FC361D"/>
    <w:rsid w:val="00FC522F"/>
    <w:rsid w:val="00FC652B"/>
    <w:rsid w:val="00FC6D85"/>
    <w:rsid w:val="00FD16AA"/>
    <w:rsid w:val="00FD1DD1"/>
    <w:rsid w:val="00FD2845"/>
    <w:rsid w:val="00FD4548"/>
    <w:rsid w:val="00FD4CA5"/>
    <w:rsid w:val="00FD5220"/>
    <w:rsid w:val="00FD7056"/>
    <w:rsid w:val="00FE0685"/>
    <w:rsid w:val="00FE1D51"/>
    <w:rsid w:val="00FE3C8E"/>
    <w:rsid w:val="00FE4C66"/>
    <w:rsid w:val="00FE5CC0"/>
    <w:rsid w:val="00FE6F03"/>
    <w:rsid w:val="00FF2C39"/>
    <w:rsid w:val="00FF504F"/>
    <w:rsid w:val="00FF63E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CB"/>
  <w15:chartTrackingRefBased/>
  <w15:docId w15:val="{79F9E903-5BD6-4EF7-9C6F-DD469F5A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AC0"/>
    <w:rPr>
      <w:rFonts w:eastAsiaTheme="majorEastAsia" w:cstheme="majorBidi"/>
      <w:color w:val="272727" w:themeColor="text1" w:themeTint="D8"/>
    </w:rPr>
  </w:style>
  <w:style w:type="paragraph" w:styleId="Title">
    <w:name w:val="Title"/>
    <w:basedOn w:val="Normal"/>
    <w:next w:val="Normal"/>
    <w:link w:val="TitleChar"/>
    <w:uiPriority w:val="10"/>
    <w:qFormat/>
    <w:rsid w:val="00A34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AC0"/>
    <w:pPr>
      <w:spacing w:before="160"/>
      <w:jc w:val="center"/>
    </w:pPr>
    <w:rPr>
      <w:i/>
      <w:iCs/>
      <w:color w:val="404040" w:themeColor="text1" w:themeTint="BF"/>
    </w:rPr>
  </w:style>
  <w:style w:type="character" w:customStyle="1" w:styleId="QuoteChar">
    <w:name w:val="Quote Char"/>
    <w:basedOn w:val="DefaultParagraphFont"/>
    <w:link w:val="Quote"/>
    <w:uiPriority w:val="29"/>
    <w:rsid w:val="00A34AC0"/>
    <w:rPr>
      <w:i/>
      <w:iCs/>
      <w:color w:val="404040" w:themeColor="text1" w:themeTint="BF"/>
    </w:rPr>
  </w:style>
  <w:style w:type="paragraph" w:styleId="ListParagraph">
    <w:name w:val="List Paragraph"/>
    <w:basedOn w:val="Normal"/>
    <w:uiPriority w:val="34"/>
    <w:qFormat/>
    <w:rsid w:val="00A34AC0"/>
    <w:pPr>
      <w:ind w:left="720"/>
      <w:contextualSpacing/>
    </w:pPr>
  </w:style>
  <w:style w:type="character" w:styleId="IntenseEmphasis">
    <w:name w:val="Intense Emphasis"/>
    <w:basedOn w:val="DefaultParagraphFont"/>
    <w:uiPriority w:val="21"/>
    <w:qFormat/>
    <w:rsid w:val="00A34AC0"/>
    <w:rPr>
      <w:i/>
      <w:iCs/>
      <w:color w:val="0F4761" w:themeColor="accent1" w:themeShade="BF"/>
    </w:rPr>
  </w:style>
  <w:style w:type="paragraph" w:styleId="IntenseQuote">
    <w:name w:val="Intense Quote"/>
    <w:basedOn w:val="Normal"/>
    <w:next w:val="Normal"/>
    <w:link w:val="IntenseQuoteChar"/>
    <w:uiPriority w:val="30"/>
    <w:qFormat/>
    <w:rsid w:val="00A34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AC0"/>
    <w:rPr>
      <w:i/>
      <w:iCs/>
      <w:color w:val="0F4761" w:themeColor="accent1" w:themeShade="BF"/>
    </w:rPr>
  </w:style>
  <w:style w:type="character" w:styleId="IntenseReference">
    <w:name w:val="Intense Reference"/>
    <w:basedOn w:val="DefaultParagraphFont"/>
    <w:uiPriority w:val="32"/>
    <w:qFormat/>
    <w:rsid w:val="00A34AC0"/>
    <w:rPr>
      <w:b/>
      <w:bCs/>
      <w:smallCaps/>
      <w:color w:val="0F4761" w:themeColor="accent1" w:themeShade="BF"/>
      <w:spacing w:val="5"/>
    </w:rPr>
  </w:style>
  <w:style w:type="character" w:styleId="Hyperlink">
    <w:name w:val="Hyperlink"/>
    <w:basedOn w:val="DefaultParagraphFont"/>
    <w:uiPriority w:val="99"/>
    <w:unhideWhenUsed/>
    <w:rsid w:val="00BB630B"/>
    <w:rPr>
      <w:color w:val="467886" w:themeColor="hyperlink"/>
      <w:u w:val="single"/>
    </w:rPr>
  </w:style>
  <w:style w:type="character" w:styleId="UnresolvedMention">
    <w:name w:val="Unresolved Mention"/>
    <w:basedOn w:val="DefaultParagraphFont"/>
    <w:uiPriority w:val="99"/>
    <w:semiHidden/>
    <w:unhideWhenUsed/>
    <w:rsid w:val="00BB630B"/>
    <w:rPr>
      <w:color w:val="605E5C"/>
      <w:shd w:val="clear" w:color="auto" w:fill="E1DFDD"/>
    </w:rPr>
  </w:style>
  <w:style w:type="character" w:styleId="CommentReference">
    <w:name w:val="annotation reference"/>
    <w:basedOn w:val="DefaultParagraphFont"/>
    <w:uiPriority w:val="99"/>
    <w:semiHidden/>
    <w:unhideWhenUsed/>
    <w:rsid w:val="00F7226E"/>
    <w:rPr>
      <w:sz w:val="16"/>
      <w:szCs w:val="16"/>
    </w:rPr>
  </w:style>
  <w:style w:type="paragraph" w:styleId="CommentText">
    <w:name w:val="annotation text"/>
    <w:basedOn w:val="Normal"/>
    <w:link w:val="CommentTextChar"/>
    <w:uiPriority w:val="99"/>
    <w:unhideWhenUsed/>
    <w:rsid w:val="00F7226E"/>
    <w:pPr>
      <w:spacing w:line="240" w:lineRule="auto"/>
    </w:pPr>
    <w:rPr>
      <w:sz w:val="20"/>
      <w:szCs w:val="20"/>
    </w:rPr>
  </w:style>
  <w:style w:type="character" w:customStyle="1" w:styleId="CommentTextChar">
    <w:name w:val="Comment Text Char"/>
    <w:basedOn w:val="DefaultParagraphFont"/>
    <w:link w:val="CommentText"/>
    <w:uiPriority w:val="99"/>
    <w:rsid w:val="00F7226E"/>
    <w:rPr>
      <w:sz w:val="20"/>
      <w:szCs w:val="20"/>
    </w:rPr>
  </w:style>
  <w:style w:type="paragraph" w:styleId="CommentSubject">
    <w:name w:val="annotation subject"/>
    <w:basedOn w:val="CommentText"/>
    <w:next w:val="CommentText"/>
    <w:link w:val="CommentSubjectChar"/>
    <w:uiPriority w:val="99"/>
    <w:semiHidden/>
    <w:unhideWhenUsed/>
    <w:rsid w:val="00F7226E"/>
    <w:rPr>
      <w:b/>
      <w:bCs/>
    </w:rPr>
  </w:style>
  <w:style w:type="character" w:customStyle="1" w:styleId="CommentSubjectChar">
    <w:name w:val="Comment Subject Char"/>
    <w:basedOn w:val="CommentTextChar"/>
    <w:link w:val="CommentSubject"/>
    <w:uiPriority w:val="99"/>
    <w:semiHidden/>
    <w:rsid w:val="00F7226E"/>
    <w:rPr>
      <w:b/>
      <w:bCs/>
      <w:sz w:val="20"/>
      <w:szCs w:val="20"/>
    </w:rPr>
  </w:style>
  <w:style w:type="character" w:customStyle="1" w:styleId="normaltextrun">
    <w:name w:val="normaltextrun"/>
    <w:basedOn w:val="DefaultParagraphFont"/>
    <w:rsid w:val="00795CDA"/>
  </w:style>
  <w:style w:type="table" w:styleId="TableGrid">
    <w:name w:val="Table Grid"/>
    <w:basedOn w:val="TableNormal"/>
    <w:uiPriority w:val="39"/>
    <w:rsid w:val="0009619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C9C"/>
  </w:style>
  <w:style w:type="paragraph" w:styleId="Footer">
    <w:name w:val="footer"/>
    <w:basedOn w:val="Normal"/>
    <w:link w:val="FooterChar"/>
    <w:uiPriority w:val="99"/>
    <w:unhideWhenUsed/>
    <w:rsid w:val="00EF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C9C"/>
  </w:style>
  <w:style w:type="character" w:styleId="PlaceholderText">
    <w:name w:val="Placeholder Text"/>
    <w:basedOn w:val="DefaultParagraphFont"/>
    <w:uiPriority w:val="99"/>
    <w:semiHidden/>
    <w:rsid w:val="007A50DE"/>
    <w:rPr>
      <w:color w:val="666666"/>
    </w:rPr>
  </w:style>
  <w:style w:type="paragraph" w:styleId="Revision">
    <w:name w:val="Revision"/>
    <w:hidden/>
    <w:uiPriority w:val="99"/>
    <w:semiHidden/>
    <w:rsid w:val="00A25433"/>
    <w:pPr>
      <w:spacing w:after="0" w:line="240" w:lineRule="auto"/>
    </w:pPr>
  </w:style>
  <w:style w:type="paragraph" w:styleId="NormalWeb">
    <w:name w:val="Normal (Web)"/>
    <w:basedOn w:val="Normal"/>
    <w:uiPriority w:val="99"/>
    <w:semiHidden/>
    <w:unhideWhenUsed/>
    <w:rsid w:val="0097513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0787">
      <w:bodyDiv w:val="1"/>
      <w:marLeft w:val="0"/>
      <w:marRight w:val="0"/>
      <w:marTop w:val="0"/>
      <w:marBottom w:val="0"/>
      <w:divBdr>
        <w:top w:val="none" w:sz="0" w:space="0" w:color="auto"/>
        <w:left w:val="none" w:sz="0" w:space="0" w:color="auto"/>
        <w:bottom w:val="none" w:sz="0" w:space="0" w:color="auto"/>
        <w:right w:val="none" w:sz="0" w:space="0" w:color="auto"/>
      </w:divBdr>
    </w:div>
    <w:div w:id="522591596">
      <w:bodyDiv w:val="1"/>
      <w:marLeft w:val="0"/>
      <w:marRight w:val="0"/>
      <w:marTop w:val="0"/>
      <w:marBottom w:val="0"/>
      <w:divBdr>
        <w:top w:val="none" w:sz="0" w:space="0" w:color="auto"/>
        <w:left w:val="none" w:sz="0" w:space="0" w:color="auto"/>
        <w:bottom w:val="none" w:sz="0" w:space="0" w:color="auto"/>
        <w:right w:val="none" w:sz="0" w:space="0" w:color="auto"/>
      </w:divBdr>
    </w:div>
    <w:div w:id="539975359">
      <w:bodyDiv w:val="1"/>
      <w:marLeft w:val="0"/>
      <w:marRight w:val="0"/>
      <w:marTop w:val="0"/>
      <w:marBottom w:val="0"/>
      <w:divBdr>
        <w:top w:val="none" w:sz="0" w:space="0" w:color="auto"/>
        <w:left w:val="none" w:sz="0" w:space="0" w:color="auto"/>
        <w:bottom w:val="none" w:sz="0" w:space="0" w:color="auto"/>
        <w:right w:val="none" w:sz="0" w:space="0" w:color="auto"/>
      </w:divBdr>
    </w:div>
    <w:div w:id="19286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CEA590ACE7C84BB5419CB5257C1A5C" ma:contentTypeVersion="17" ma:contentTypeDescription="Create a new document." ma:contentTypeScope="" ma:versionID="d622829b28aa4e5ceefa0d452abc8ee6">
  <xsd:schema xmlns:xsd="http://www.w3.org/2001/XMLSchema" xmlns:xs="http://www.w3.org/2001/XMLSchema" xmlns:p="http://schemas.microsoft.com/office/2006/metadata/properties" xmlns:ns2="7e326a5e-feac-4780-b6b8-f13e51277d5f" xmlns:ns3="34ce9769-0170-440e-be64-b6e2afa05c26" targetNamespace="http://schemas.microsoft.com/office/2006/metadata/properties" ma:root="true" ma:fieldsID="0cbb504af872c53eaaf405cde3eaacab" ns2:_="" ns3:_="">
    <xsd:import namespace="7e326a5e-feac-4780-b6b8-f13e51277d5f"/>
    <xsd:import namespace="34ce9769-0170-440e-be64-b6e2afa05c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6a5e-feac-4780-b6b8-f13e5127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306ad3-f59b-477c-b867-d4886070a618}" ma:internalName="TaxCatchAll" ma:showField="CatchAllData" ma:web="7e326a5e-feac-4780-b6b8-f13e51277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ce9769-0170-440e-be64-b6e2afa05c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66f28-1be1-4f4a-916b-5432040966c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e9769-0170-440e-be64-b6e2afa05c26">
      <Terms xmlns="http://schemas.microsoft.com/office/infopath/2007/PartnerControls"/>
    </lcf76f155ced4ddcb4097134ff3c332f>
    <TaxCatchAll xmlns="7e326a5e-feac-4780-b6b8-f13e51277d5f" xsi:nil="true"/>
    <_Flow_SignoffStatus xmlns="34ce9769-0170-440e-be64-b6e2afa05c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9AC5F-66A1-4006-8F52-25725E287237}">
  <ds:schemaRefs>
    <ds:schemaRef ds:uri="http://schemas.openxmlformats.org/officeDocument/2006/bibliography"/>
  </ds:schemaRefs>
</ds:datastoreItem>
</file>

<file path=customXml/itemProps2.xml><?xml version="1.0" encoding="utf-8"?>
<ds:datastoreItem xmlns:ds="http://schemas.openxmlformats.org/officeDocument/2006/customXml" ds:itemID="{C8E519D6-B4AE-4E43-BA9D-A9327CC3D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26a5e-feac-4780-b6b8-f13e51277d5f"/>
    <ds:schemaRef ds:uri="34ce9769-0170-440e-be64-b6e2afa0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BF03A-BFDD-4FE2-BFB2-6F4105AE4477}">
  <ds:schemaRefs>
    <ds:schemaRef ds:uri="http://schemas.microsoft.com/office/2006/metadata/properties"/>
    <ds:schemaRef ds:uri="http://schemas.microsoft.com/office/infopath/2007/PartnerControls"/>
    <ds:schemaRef ds:uri="34ce9769-0170-440e-be64-b6e2afa05c26"/>
    <ds:schemaRef ds:uri="7e326a5e-feac-4780-b6b8-f13e51277d5f"/>
  </ds:schemaRefs>
</ds:datastoreItem>
</file>

<file path=customXml/itemProps4.xml><?xml version="1.0" encoding="utf-8"?>
<ds:datastoreItem xmlns:ds="http://schemas.openxmlformats.org/officeDocument/2006/customXml" ds:itemID="{6537D335-92B9-4DF4-8B9E-9E26F7BDD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8274</Characters>
  <Application>Microsoft Office Word</Application>
  <DocSecurity>0</DocSecurity>
  <Lines>295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Links>
    <vt:vector size="12" baseType="variant">
      <vt:variant>
        <vt:i4>2883637</vt:i4>
      </vt:variant>
      <vt:variant>
        <vt:i4>3</vt:i4>
      </vt:variant>
      <vt:variant>
        <vt:i4>0</vt:i4>
      </vt:variant>
      <vt:variant>
        <vt:i4>5</vt:i4>
      </vt:variant>
      <vt:variant>
        <vt:lpwstr>http://www.maaden.com/</vt:lpwstr>
      </vt:variant>
      <vt:variant>
        <vt:lpwstr/>
      </vt:variant>
      <vt:variant>
        <vt:i4>5767219</vt:i4>
      </vt:variant>
      <vt:variant>
        <vt:i4>0</vt:i4>
      </vt:variant>
      <vt:variant>
        <vt:i4>0</vt:i4>
      </vt:variant>
      <vt:variant>
        <vt:i4>5</vt:i4>
      </vt:variant>
      <vt:variant>
        <vt:lpwstr>mailto:invest@maaden.com.sa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Shahroz Hussain</dc:creator>
  <cp:keywords/>
  <dc:description/>
  <cp:lastModifiedBy>Susan Parker</cp:lastModifiedBy>
  <cp:revision>3</cp:revision>
  <dcterms:created xsi:type="dcterms:W3CDTF">2026-05-03T11:38:00Z</dcterms:created>
  <dcterms:modified xsi:type="dcterms:W3CDTF">2026-05-03T12:18:00Z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0x01010028CEA590ACE7C84BB5419CB5257C1A5C</vt:lpwstr>
  </property>
  <property fmtid="{D5CDD505-2E9C-101B-9397-08002B2CF9AE}" pid="3" name="MediaServiceImageTags">
    <vt:lpwstr/>
  </property>
  <property fmtid="{D5CDD505-2E9C-101B-9397-08002B2CF9AE}" pid="4" name="MSIP_Label_dff828bb-581d-4d28-b3c8-546cd846d36b_Enabled">
    <vt:lpwstr>true</vt:lpwstr>
  </property>
  <property fmtid="{D5CDD505-2E9C-101B-9397-08002B2CF9AE}" pid="5" name="MSIP_Label_dff828bb-581d-4d28-b3c8-546cd846d36b_SetDate">
    <vt:lpwstr>2026-02-19T12:51:20Z</vt:lpwstr>
  </property>
  <property fmtid="{D5CDD505-2E9C-101B-9397-08002B2CF9AE}" pid="6" name="MSIP_Label_dff828bb-581d-4d28-b3c8-546cd846d36b_Method">
    <vt:lpwstr>Standard</vt:lpwstr>
  </property>
  <property fmtid="{D5CDD505-2E9C-101B-9397-08002B2CF9AE}" pid="7" name="MSIP_Label_dff828bb-581d-4d28-b3c8-546cd846d36b_Name">
    <vt:lpwstr>Restricted</vt:lpwstr>
  </property>
  <property fmtid="{D5CDD505-2E9C-101B-9397-08002B2CF9AE}" pid="8" name="MSIP_Label_dff828bb-581d-4d28-b3c8-546cd846d36b_SiteId">
    <vt:lpwstr>bfe67e2e-bec6-4055-9aac-7cf4b793e890</vt:lpwstr>
  </property>
  <property fmtid="{D5CDD505-2E9C-101B-9397-08002B2CF9AE}" pid="9" name="MSIP_Label_dff828bb-581d-4d28-b3c8-546cd846d36b_ActionId">
    <vt:lpwstr>080909a0-cc6c-4ff2-acf4-e5b5944434d5</vt:lpwstr>
  </property>
  <property fmtid="{D5CDD505-2E9C-101B-9397-08002B2CF9AE}" pid="10" name="MSIP_Label_dff828bb-581d-4d28-b3c8-546cd846d36b_ContentBits">
    <vt:lpwstr>2</vt:lpwstr>
  </property>
  <property fmtid="{D5CDD505-2E9C-101B-9397-08002B2CF9AE}" pid="11" name="MSIP_Label_dff828bb-581d-4d28-b3c8-546cd846d36b_Tag">
    <vt:lpwstr>50, 3, 0, 1</vt:lpwstr>
  </property>
  <property fmtid="{D5CDD505-2E9C-101B-9397-08002B2CF9AE}" pid="12" name="docLang">
    <vt:lpwstr>en</vt:lpwstr>
  </property>
</Properties>
</file>