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19300" w14:textId="4F33BB61" w:rsidR="00FC373D" w:rsidRPr="00AA2207" w:rsidRDefault="00FC373D" w:rsidP="00FC373D">
      <w:pPr>
        <w:jc w:val="center"/>
        <w:rPr>
          <w:rFonts w:cs="Arial"/>
          <w:b/>
          <w:bCs/>
          <w:sz w:val="28"/>
          <w:szCs w:val="28"/>
          <w:lang w:val="en-US"/>
        </w:rPr>
      </w:pPr>
      <w:r w:rsidRPr="00AA2207">
        <w:rPr>
          <w:rFonts w:cs="Arial"/>
          <w:b/>
          <w:bCs/>
          <w:sz w:val="28"/>
          <w:szCs w:val="28"/>
          <w:lang w:val="en-US"/>
        </w:rPr>
        <w:t>MA’ADEN FIRMLY ESTABLISHES SAUDI ARABIA’S POSITION AS A GLOBAL EXPLORATION HUB WITH GOLD AND COPPER DISCOVERIES</w:t>
      </w:r>
    </w:p>
    <w:p w14:paraId="007B0909" w14:textId="4B726601" w:rsidR="003D4400" w:rsidRPr="00AA2207" w:rsidRDefault="00420C69" w:rsidP="009633B6">
      <w:pPr>
        <w:pStyle w:val="Heading1"/>
        <w:jc w:val="both"/>
        <w:rPr>
          <w:rFonts w:ascii="Arial" w:eastAsiaTheme="minorEastAsia" w:hAnsi="Arial" w:cs="Arial"/>
          <w:color w:val="000000" w:themeColor="text1"/>
          <w:sz w:val="20"/>
          <w:szCs w:val="20"/>
        </w:rPr>
      </w:pPr>
      <w:r w:rsidRPr="00AA2207">
        <w:rPr>
          <w:rFonts w:ascii="Arial" w:eastAsiaTheme="minorEastAsia" w:hAnsi="Arial" w:cs="Arial"/>
          <w:b/>
          <w:bCs/>
          <w:color w:val="000000" w:themeColor="text1"/>
          <w:sz w:val="20"/>
          <w:szCs w:val="20"/>
        </w:rPr>
        <w:t>Riyadh, Saudi Arabia. 15 January 2025:</w:t>
      </w:r>
      <w:r w:rsidRPr="00AA2207">
        <w:rPr>
          <w:rFonts w:ascii="Arial" w:eastAsiaTheme="minorEastAsia" w:hAnsi="Arial" w:cs="Arial"/>
          <w:color w:val="000000" w:themeColor="text1"/>
          <w:sz w:val="20"/>
          <w:szCs w:val="20"/>
        </w:rPr>
        <w:t xml:space="preserve"> </w:t>
      </w:r>
      <w:r w:rsidR="007937F1" w:rsidRPr="00AA2207">
        <w:rPr>
          <w:rFonts w:ascii="Arial" w:eastAsiaTheme="minorEastAsia" w:hAnsi="Arial" w:cs="Arial"/>
          <w:color w:val="000000" w:themeColor="text1"/>
          <w:sz w:val="20"/>
          <w:szCs w:val="20"/>
        </w:rPr>
        <w:t>Saudi Arabian Mining Company (“Ma’aden”)</w:t>
      </w:r>
      <w:r w:rsidR="00D66350" w:rsidRPr="00AA2207">
        <w:rPr>
          <w:rFonts w:ascii="Arial" w:eastAsiaTheme="minorEastAsia" w:hAnsi="Arial" w:cs="Arial"/>
          <w:color w:val="000000" w:themeColor="text1"/>
          <w:sz w:val="20"/>
          <w:szCs w:val="20"/>
        </w:rPr>
        <w:t xml:space="preserve"> has </w:t>
      </w:r>
      <w:r w:rsidR="00AC3373" w:rsidRPr="00AA2207">
        <w:rPr>
          <w:rFonts w:ascii="Arial" w:eastAsiaTheme="minorEastAsia" w:hAnsi="Arial" w:cs="Arial"/>
          <w:color w:val="000000" w:themeColor="text1"/>
          <w:sz w:val="20"/>
          <w:szCs w:val="20"/>
        </w:rPr>
        <w:t xml:space="preserve">announced </w:t>
      </w:r>
      <w:r w:rsidR="00E43151" w:rsidRPr="00AA2207">
        <w:rPr>
          <w:rFonts w:ascii="Arial" w:eastAsiaTheme="minorEastAsia" w:hAnsi="Arial" w:cs="Arial"/>
          <w:color w:val="000000" w:themeColor="text1"/>
          <w:sz w:val="20"/>
          <w:szCs w:val="20"/>
        </w:rPr>
        <w:t xml:space="preserve">significant updates in its efforts to </w:t>
      </w:r>
      <w:r w:rsidR="005C7BBD" w:rsidRPr="00AA2207">
        <w:rPr>
          <w:rFonts w:ascii="Arial" w:eastAsiaTheme="minorEastAsia" w:hAnsi="Arial" w:cs="Arial"/>
          <w:color w:val="000000" w:themeColor="text1"/>
          <w:sz w:val="20"/>
          <w:szCs w:val="20"/>
        </w:rPr>
        <w:t xml:space="preserve">explore and unearth </w:t>
      </w:r>
      <w:r w:rsidR="00E43151" w:rsidRPr="00AA2207">
        <w:rPr>
          <w:rFonts w:ascii="Arial" w:eastAsiaTheme="minorEastAsia" w:hAnsi="Arial" w:cs="Arial"/>
          <w:color w:val="000000" w:themeColor="text1"/>
          <w:sz w:val="20"/>
          <w:szCs w:val="20"/>
        </w:rPr>
        <w:t xml:space="preserve">Saudi Arabia’s </w:t>
      </w:r>
      <w:r w:rsidR="005C7BBD" w:rsidRPr="00AA2207">
        <w:rPr>
          <w:rFonts w:ascii="Arial" w:eastAsiaTheme="minorEastAsia" w:hAnsi="Arial" w:cs="Arial"/>
          <w:color w:val="000000" w:themeColor="text1"/>
          <w:sz w:val="20"/>
          <w:szCs w:val="20"/>
        </w:rPr>
        <w:t>mineral endowment</w:t>
      </w:r>
      <w:r w:rsidR="00522D14" w:rsidRPr="00AA2207">
        <w:rPr>
          <w:rFonts w:ascii="Arial" w:eastAsiaTheme="minorEastAsia" w:hAnsi="Arial" w:cs="Arial"/>
          <w:color w:val="000000" w:themeColor="text1"/>
          <w:sz w:val="20"/>
          <w:szCs w:val="20"/>
        </w:rPr>
        <w:t xml:space="preserve"> at the Future Minerals Forum 2025</w:t>
      </w:r>
      <w:r w:rsidR="009633B6" w:rsidRPr="00AA2207">
        <w:rPr>
          <w:rFonts w:ascii="Arial" w:eastAsiaTheme="minorEastAsia" w:hAnsi="Arial" w:cs="Arial"/>
          <w:color w:val="000000" w:themeColor="text1"/>
          <w:sz w:val="20"/>
          <w:szCs w:val="20"/>
        </w:rPr>
        <w:t>:</w:t>
      </w:r>
    </w:p>
    <w:p w14:paraId="0A80589E" w14:textId="2CF633A6" w:rsidR="003D4400" w:rsidRPr="00AA2207" w:rsidRDefault="00AC3373" w:rsidP="003D4400">
      <w:pPr>
        <w:pStyle w:val="ListParagraph"/>
        <w:numPr>
          <w:ilvl w:val="0"/>
          <w:numId w:val="12"/>
        </w:numPr>
        <w:spacing w:before="240"/>
        <w:jc w:val="both"/>
        <w:rPr>
          <w:rFonts w:cs="Arial"/>
          <w:b/>
          <w:bCs/>
          <w:szCs w:val="20"/>
        </w:rPr>
      </w:pPr>
      <w:r w:rsidRPr="00AA2207">
        <w:rPr>
          <w:rFonts w:eastAsiaTheme="minorEastAsia" w:cs="Arial"/>
          <w:b/>
          <w:bCs/>
          <w:color w:val="000000" w:themeColor="text1"/>
          <w:szCs w:val="20"/>
        </w:rPr>
        <w:t>The</w:t>
      </w:r>
      <w:r w:rsidR="00E43151" w:rsidRPr="00AA2207">
        <w:rPr>
          <w:rFonts w:eastAsiaTheme="minorEastAsia" w:cs="Arial"/>
          <w:b/>
          <w:bCs/>
          <w:color w:val="000000" w:themeColor="text1"/>
          <w:szCs w:val="20"/>
        </w:rPr>
        <w:t xml:space="preserve"> achieve</w:t>
      </w:r>
      <w:r w:rsidRPr="00AA2207">
        <w:rPr>
          <w:rFonts w:eastAsiaTheme="minorEastAsia" w:cs="Arial"/>
          <w:b/>
          <w:bCs/>
          <w:color w:val="000000" w:themeColor="text1"/>
          <w:szCs w:val="20"/>
        </w:rPr>
        <w:t>ment of</w:t>
      </w:r>
      <w:r w:rsidR="00E43151" w:rsidRPr="00AA2207">
        <w:rPr>
          <w:rFonts w:eastAsiaTheme="minorEastAsia" w:cs="Arial"/>
          <w:b/>
          <w:bCs/>
          <w:color w:val="000000" w:themeColor="text1"/>
          <w:szCs w:val="20"/>
        </w:rPr>
        <w:t xml:space="preserve"> promising gold </w:t>
      </w:r>
      <w:r w:rsidR="00486030" w:rsidRPr="00AA2207">
        <w:rPr>
          <w:rFonts w:eastAsiaTheme="minorEastAsia" w:cs="Arial"/>
          <w:b/>
          <w:bCs/>
          <w:color w:val="000000" w:themeColor="text1"/>
          <w:szCs w:val="20"/>
        </w:rPr>
        <w:t xml:space="preserve">and copper </w:t>
      </w:r>
      <w:r w:rsidR="00E43151" w:rsidRPr="00AA2207">
        <w:rPr>
          <w:rFonts w:eastAsiaTheme="minorEastAsia" w:cs="Arial"/>
          <w:b/>
          <w:bCs/>
          <w:color w:val="000000" w:themeColor="text1"/>
          <w:szCs w:val="20"/>
        </w:rPr>
        <w:t>intercepts</w:t>
      </w:r>
      <w:r w:rsidR="00D01BB4" w:rsidRPr="00AA2207">
        <w:rPr>
          <w:rFonts w:eastAsiaTheme="minorEastAsia" w:cs="Arial"/>
          <w:b/>
          <w:bCs/>
          <w:color w:val="000000" w:themeColor="text1"/>
          <w:szCs w:val="20"/>
        </w:rPr>
        <w:t xml:space="preserve"> in the Arabian Shield, with</w:t>
      </w:r>
      <w:r w:rsidR="00DE629F" w:rsidRPr="00AA2207">
        <w:rPr>
          <w:rFonts w:eastAsiaTheme="minorEastAsia" w:cs="Arial"/>
          <w:b/>
          <w:bCs/>
          <w:color w:val="000000" w:themeColor="text1"/>
          <w:szCs w:val="20"/>
        </w:rPr>
        <w:t xml:space="preserve"> a</w:t>
      </w:r>
      <w:r w:rsidR="00D01BB4" w:rsidRPr="00AA2207">
        <w:rPr>
          <w:rFonts w:eastAsiaTheme="minorEastAsia" w:cs="Arial"/>
          <w:b/>
          <w:bCs/>
          <w:color w:val="000000" w:themeColor="text1"/>
          <w:szCs w:val="20"/>
        </w:rPr>
        <w:t xml:space="preserve"> brand-new </w:t>
      </w:r>
      <w:r w:rsidR="00842AB4" w:rsidRPr="00AA2207">
        <w:rPr>
          <w:rFonts w:eastAsiaTheme="minorEastAsia" w:cs="Arial"/>
          <w:b/>
          <w:bCs/>
          <w:color w:val="000000" w:themeColor="text1"/>
          <w:szCs w:val="20"/>
        </w:rPr>
        <w:t xml:space="preserve">gold </w:t>
      </w:r>
      <w:r w:rsidR="00D01BB4" w:rsidRPr="00AA2207">
        <w:rPr>
          <w:rFonts w:eastAsiaTheme="minorEastAsia" w:cs="Arial"/>
          <w:b/>
          <w:bCs/>
          <w:color w:val="000000" w:themeColor="text1"/>
          <w:szCs w:val="20"/>
        </w:rPr>
        <w:t>discovery at</w:t>
      </w:r>
      <w:r w:rsidR="00E43151" w:rsidRPr="00AA2207">
        <w:rPr>
          <w:rFonts w:eastAsiaTheme="minorEastAsia" w:cs="Arial"/>
          <w:b/>
          <w:bCs/>
          <w:color w:val="000000" w:themeColor="text1"/>
          <w:szCs w:val="20"/>
        </w:rPr>
        <w:t xml:space="preserve"> Wadi Al Jaww</w:t>
      </w:r>
      <w:r w:rsidR="00D67440" w:rsidRPr="00AA2207">
        <w:rPr>
          <w:rFonts w:eastAsiaTheme="minorEastAsia" w:cs="Arial"/>
          <w:b/>
          <w:bCs/>
          <w:color w:val="000000" w:themeColor="text1"/>
          <w:szCs w:val="20"/>
        </w:rPr>
        <w:t xml:space="preserve"> and further success at Jabal Shayban</w:t>
      </w:r>
      <w:r w:rsidR="00D01BB4" w:rsidRPr="00AA2207">
        <w:rPr>
          <w:rFonts w:eastAsiaTheme="minorEastAsia" w:cs="Arial"/>
          <w:b/>
          <w:bCs/>
          <w:color w:val="000000" w:themeColor="text1"/>
          <w:szCs w:val="20"/>
        </w:rPr>
        <w:t xml:space="preserve">, </w:t>
      </w:r>
      <w:r w:rsidR="00E43151" w:rsidRPr="00AA2207">
        <w:rPr>
          <w:rFonts w:eastAsiaTheme="minorEastAsia" w:cs="Arial"/>
          <w:b/>
          <w:bCs/>
          <w:color w:val="000000" w:themeColor="text1"/>
          <w:szCs w:val="20"/>
        </w:rPr>
        <w:t xml:space="preserve">in a first set of drill results </w:t>
      </w:r>
      <w:r w:rsidR="00D01BB4" w:rsidRPr="00AA2207">
        <w:rPr>
          <w:rFonts w:eastAsiaTheme="minorEastAsia" w:cs="Arial"/>
          <w:b/>
          <w:bCs/>
          <w:color w:val="000000" w:themeColor="text1"/>
          <w:szCs w:val="20"/>
        </w:rPr>
        <w:t>which indicate</w:t>
      </w:r>
      <w:r w:rsidR="00F37979" w:rsidRPr="00AA2207">
        <w:rPr>
          <w:rFonts w:eastAsiaTheme="minorEastAsia" w:cs="Arial"/>
          <w:b/>
          <w:bCs/>
          <w:color w:val="000000" w:themeColor="text1"/>
          <w:szCs w:val="20"/>
        </w:rPr>
        <w:t xml:space="preserve"> </w:t>
      </w:r>
      <w:r w:rsidR="004C7518" w:rsidRPr="00AA2207">
        <w:rPr>
          <w:rFonts w:eastAsiaTheme="minorEastAsia" w:cs="Arial"/>
          <w:b/>
          <w:bCs/>
          <w:color w:val="000000" w:themeColor="text1"/>
          <w:szCs w:val="20"/>
        </w:rPr>
        <w:t xml:space="preserve">an </w:t>
      </w:r>
      <w:r w:rsidR="00606F52" w:rsidRPr="00AA2207">
        <w:rPr>
          <w:rFonts w:eastAsiaTheme="minorEastAsia" w:cs="Arial"/>
          <w:b/>
          <w:bCs/>
          <w:color w:val="000000" w:themeColor="text1"/>
          <w:szCs w:val="20"/>
        </w:rPr>
        <w:t xml:space="preserve">exciting </w:t>
      </w:r>
      <w:r w:rsidR="00E43151" w:rsidRPr="00AA2207">
        <w:rPr>
          <w:rFonts w:eastAsiaTheme="minorEastAsia" w:cs="Arial"/>
          <w:b/>
          <w:bCs/>
          <w:color w:val="000000" w:themeColor="text1"/>
          <w:szCs w:val="20"/>
        </w:rPr>
        <w:t xml:space="preserve">new </w:t>
      </w:r>
      <w:r w:rsidR="00606F52" w:rsidRPr="00AA2207">
        <w:rPr>
          <w:rFonts w:eastAsiaTheme="minorEastAsia" w:cs="Arial"/>
          <w:b/>
          <w:bCs/>
          <w:color w:val="000000" w:themeColor="text1"/>
          <w:szCs w:val="20"/>
        </w:rPr>
        <w:t>potential gold</w:t>
      </w:r>
      <w:r w:rsidR="00486030" w:rsidRPr="00AA2207">
        <w:rPr>
          <w:rFonts w:eastAsiaTheme="minorEastAsia" w:cs="Arial"/>
          <w:b/>
          <w:bCs/>
          <w:color w:val="000000" w:themeColor="text1"/>
          <w:szCs w:val="20"/>
        </w:rPr>
        <w:t xml:space="preserve"> and copper</w:t>
      </w:r>
      <w:r w:rsidR="00606F52" w:rsidRPr="00AA2207">
        <w:rPr>
          <w:rFonts w:eastAsiaTheme="minorEastAsia" w:cs="Arial"/>
          <w:b/>
          <w:bCs/>
          <w:color w:val="000000" w:themeColor="text1"/>
          <w:szCs w:val="20"/>
        </w:rPr>
        <w:t xml:space="preserve"> </w:t>
      </w:r>
      <w:r w:rsidR="00486030" w:rsidRPr="00AA2207">
        <w:rPr>
          <w:rFonts w:eastAsiaTheme="minorEastAsia" w:cs="Arial"/>
          <w:b/>
          <w:bCs/>
          <w:color w:val="000000" w:themeColor="text1"/>
          <w:szCs w:val="20"/>
        </w:rPr>
        <w:t>district</w:t>
      </w:r>
      <w:r w:rsidR="004C55D3" w:rsidRPr="00AA2207">
        <w:rPr>
          <w:rFonts w:eastAsiaTheme="minorEastAsia" w:cs="Arial"/>
          <w:b/>
          <w:bCs/>
          <w:color w:val="000000" w:themeColor="text1"/>
          <w:szCs w:val="20"/>
        </w:rPr>
        <w:t>.</w:t>
      </w:r>
      <w:r w:rsidR="006C5FC7" w:rsidRPr="00AA2207">
        <w:rPr>
          <w:rFonts w:eastAsiaTheme="minorEastAsia" w:cs="Arial"/>
          <w:b/>
          <w:bCs/>
          <w:color w:val="000000" w:themeColor="text1"/>
          <w:szCs w:val="20"/>
        </w:rPr>
        <w:t xml:space="preserve"> </w:t>
      </w:r>
    </w:p>
    <w:p w14:paraId="78D45AE5" w14:textId="77777777" w:rsidR="003D4400" w:rsidRPr="00AA2207" w:rsidRDefault="003D4400" w:rsidP="003D4400">
      <w:pPr>
        <w:pStyle w:val="ListParagraph"/>
        <w:rPr>
          <w:rFonts w:eastAsiaTheme="minorEastAsia" w:cs="Arial"/>
          <w:b/>
          <w:bCs/>
          <w:color w:val="000000" w:themeColor="text1"/>
          <w:szCs w:val="20"/>
        </w:rPr>
      </w:pPr>
    </w:p>
    <w:p w14:paraId="667C4714" w14:textId="7C283B4C" w:rsidR="005C7BBD" w:rsidRPr="00AA2207" w:rsidRDefault="005C7BBD" w:rsidP="003D4400">
      <w:pPr>
        <w:pStyle w:val="ListParagraph"/>
        <w:numPr>
          <w:ilvl w:val="0"/>
          <w:numId w:val="12"/>
        </w:numPr>
        <w:spacing w:before="240"/>
        <w:jc w:val="both"/>
        <w:rPr>
          <w:rFonts w:cs="Arial"/>
          <w:b/>
          <w:bCs/>
          <w:szCs w:val="20"/>
        </w:rPr>
      </w:pPr>
      <w:r w:rsidRPr="00AA2207">
        <w:rPr>
          <w:rFonts w:eastAsiaTheme="minorEastAsia" w:cs="Arial"/>
          <w:b/>
          <w:bCs/>
          <w:color w:val="000000" w:themeColor="text1"/>
          <w:szCs w:val="20"/>
        </w:rPr>
        <w:t>New drilling results from Ma’aden’s flagship Mansourah</w:t>
      </w:r>
      <w:r w:rsidR="00435E90" w:rsidRPr="00AA2207">
        <w:rPr>
          <w:rFonts w:eastAsiaTheme="minorEastAsia" w:cs="Arial"/>
          <w:b/>
          <w:bCs/>
          <w:color w:val="000000" w:themeColor="text1"/>
          <w:szCs w:val="20"/>
        </w:rPr>
        <w:t xml:space="preserve"> -</w:t>
      </w:r>
      <w:r w:rsidRPr="00AA2207">
        <w:rPr>
          <w:rFonts w:eastAsiaTheme="minorEastAsia" w:cs="Arial"/>
          <w:b/>
          <w:bCs/>
          <w:color w:val="000000" w:themeColor="text1"/>
          <w:szCs w:val="20"/>
        </w:rPr>
        <w:t xml:space="preserve"> Massarah gold mine showing strong gold mineralisation, building on </w:t>
      </w:r>
      <w:r w:rsidR="007D31C2" w:rsidRPr="00AA2207">
        <w:rPr>
          <w:rFonts w:eastAsiaTheme="minorEastAsia" w:cs="Arial"/>
          <w:b/>
          <w:bCs/>
          <w:color w:val="000000" w:themeColor="text1"/>
          <w:szCs w:val="20"/>
        </w:rPr>
        <w:t xml:space="preserve">the exploration </w:t>
      </w:r>
      <w:r w:rsidRPr="00AA2207">
        <w:rPr>
          <w:rFonts w:eastAsiaTheme="minorEastAsia" w:cs="Arial"/>
          <w:b/>
          <w:bCs/>
          <w:color w:val="000000" w:themeColor="text1"/>
          <w:szCs w:val="20"/>
        </w:rPr>
        <w:t>program’s previous success</w:t>
      </w:r>
      <w:r w:rsidR="004C55D3" w:rsidRPr="00AA2207">
        <w:rPr>
          <w:rFonts w:eastAsiaTheme="minorEastAsia" w:cs="Arial"/>
          <w:b/>
          <w:bCs/>
          <w:color w:val="000000" w:themeColor="text1"/>
          <w:szCs w:val="20"/>
        </w:rPr>
        <w:t>.</w:t>
      </w:r>
    </w:p>
    <w:p w14:paraId="095A01B0" w14:textId="77777777" w:rsidR="003D4400" w:rsidRPr="00AA2207" w:rsidRDefault="003D4400" w:rsidP="003D4400">
      <w:pPr>
        <w:pStyle w:val="ListParagraph"/>
        <w:spacing w:before="240"/>
        <w:jc w:val="both"/>
        <w:rPr>
          <w:rFonts w:eastAsiaTheme="minorEastAsia" w:cs="Arial"/>
          <w:b/>
          <w:bCs/>
          <w:color w:val="000000" w:themeColor="text1"/>
          <w:szCs w:val="20"/>
        </w:rPr>
      </w:pPr>
    </w:p>
    <w:p w14:paraId="725A6817" w14:textId="5C0287BE" w:rsidR="005C7BBD" w:rsidRPr="00AA2207" w:rsidRDefault="005C7BBD" w:rsidP="005C7BBD">
      <w:pPr>
        <w:pStyle w:val="ListParagraph"/>
        <w:numPr>
          <w:ilvl w:val="0"/>
          <w:numId w:val="12"/>
        </w:numPr>
        <w:jc w:val="both"/>
        <w:rPr>
          <w:rFonts w:eastAsiaTheme="minorEastAsia" w:cs="Arial"/>
          <w:b/>
          <w:bCs/>
          <w:color w:val="000000" w:themeColor="text1"/>
          <w:szCs w:val="20"/>
        </w:rPr>
      </w:pPr>
      <w:r w:rsidRPr="00AA2207">
        <w:rPr>
          <w:rFonts w:eastAsiaTheme="minorEastAsia" w:cs="Arial"/>
          <w:b/>
          <w:bCs/>
          <w:color w:val="000000" w:themeColor="text1"/>
          <w:szCs w:val="20"/>
        </w:rPr>
        <w:t xml:space="preserve">Ma’aden continues to undertake </w:t>
      </w:r>
      <w:r w:rsidR="00FB31C2" w:rsidRPr="00AA2207">
        <w:rPr>
          <w:rFonts w:eastAsiaTheme="minorEastAsia" w:cs="Arial"/>
          <w:b/>
          <w:bCs/>
          <w:color w:val="000000" w:themeColor="text1"/>
          <w:szCs w:val="20"/>
        </w:rPr>
        <w:t xml:space="preserve">one </w:t>
      </w:r>
      <w:r w:rsidR="00B636F0" w:rsidRPr="00AA2207">
        <w:rPr>
          <w:rFonts w:eastAsiaTheme="minorEastAsia" w:cs="Arial"/>
          <w:b/>
          <w:bCs/>
          <w:color w:val="000000" w:themeColor="text1"/>
          <w:szCs w:val="20"/>
        </w:rPr>
        <w:t>of the</w:t>
      </w:r>
      <w:r w:rsidRPr="00AA2207">
        <w:rPr>
          <w:rFonts w:eastAsiaTheme="minorEastAsia" w:cs="Arial"/>
          <w:b/>
          <w:bCs/>
          <w:color w:val="000000" w:themeColor="text1"/>
          <w:szCs w:val="20"/>
        </w:rPr>
        <w:t xml:space="preserve"> world’s largest single-jurisdiction exploration program in the Arabian Shield.</w:t>
      </w:r>
    </w:p>
    <w:p w14:paraId="0EDB8A6D" w14:textId="77777777" w:rsidR="00AA2207" w:rsidRPr="00AA2207" w:rsidRDefault="00AA2207" w:rsidP="00435E90">
      <w:pPr>
        <w:jc w:val="both"/>
        <w:rPr>
          <w:rFonts w:cs="Arial"/>
          <w:b/>
          <w:bCs/>
          <w:szCs w:val="20"/>
        </w:rPr>
      </w:pPr>
    </w:p>
    <w:p w14:paraId="7A731843" w14:textId="58A36160" w:rsidR="00435E90" w:rsidRPr="00AA2207" w:rsidRDefault="006D4109" w:rsidP="00435E90">
      <w:pPr>
        <w:jc w:val="both"/>
        <w:rPr>
          <w:rFonts w:cs="Arial"/>
          <w:b/>
          <w:bCs/>
          <w:szCs w:val="20"/>
        </w:rPr>
      </w:pPr>
      <w:r w:rsidRPr="00AA2207">
        <w:rPr>
          <w:rFonts w:cs="Arial"/>
          <w:b/>
          <w:bCs/>
          <w:szCs w:val="20"/>
        </w:rPr>
        <w:t>Promising intercepts</w:t>
      </w:r>
      <w:r w:rsidR="009E60E8" w:rsidRPr="00AA2207">
        <w:rPr>
          <w:rFonts w:cs="Arial"/>
          <w:b/>
          <w:bCs/>
          <w:szCs w:val="20"/>
        </w:rPr>
        <w:t>, including new</w:t>
      </w:r>
      <w:r w:rsidR="007909CF" w:rsidRPr="00AA2207">
        <w:rPr>
          <w:rFonts w:cs="Arial"/>
          <w:b/>
          <w:bCs/>
          <w:szCs w:val="20"/>
        </w:rPr>
        <w:t xml:space="preserve"> gold</w:t>
      </w:r>
      <w:r w:rsidR="009E60E8" w:rsidRPr="00AA2207">
        <w:rPr>
          <w:rFonts w:cs="Arial"/>
          <w:b/>
          <w:bCs/>
          <w:szCs w:val="20"/>
        </w:rPr>
        <w:t xml:space="preserve"> discovery,</w:t>
      </w:r>
      <w:r w:rsidRPr="00AA2207">
        <w:rPr>
          <w:rFonts w:cs="Arial"/>
          <w:b/>
          <w:bCs/>
          <w:szCs w:val="20"/>
        </w:rPr>
        <w:t xml:space="preserve"> </w:t>
      </w:r>
      <w:r w:rsidR="00DD0DD1" w:rsidRPr="00AA2207">
        <w:rPr>
          <w:rFonts w:cs="Arial"/>
          <w:b/>
          <w:bCs/>
          <w:szCs w:val="20"/>
        </w:rPr>
        <w:t xml:space="preserve">continue to mark the Arabian Shield’s </w:t>
      </w:r>
      <w:r w:rsidR="0006017F" w:rsidRPr="00AA2207">
        <w:rPr>
          <w:rFonts w:cs="Arial"/>
          <w:b/>
          <w:bCs/>
          <w:szCs w:val="20"/>
        </w:rPr>
        <w:t>prospectivity</w:t>
      </w:r>
    </w:p>
    <w:p w14:paraId="376962FA" w14:textId="2E77C434" w:rsidR="005C7BBD" w:rsidRPr="00AA2207" w:rsidRDefault="00435E90" w:rsidP="00435E90">
      <w:pPr>
        <w:jc w:val="both"/>
        <w:rPr>
          <w:rFonts w:cs="Arial"/>
          <w:b/>
          <w:bCs/>
          <w:szCs w:val="20"/>
        </w:rPr>
      </w:pPr>
      <w:r w:rsidRPr="00AA2207">
        <w:rPr>
          <w:rFonts w:cs="Arial"/>
          <w:szCs w:val="20"/>
        </w:rPr>
        <w:t>P</w:t>
      </w:r>
      <w:r w:rsidR="005C7BBD" w:rsidRPr="00AA2207">
        <w:rPr>
          <w:rFonts w:eastAsiaTheme="minorEastAsia" w:cs="Arial"/>
          <w:color w:val="000000" w:themeColor="text1"/>
          <w:szCs w:val="20"/>
        </w:rPr>
        <w:t>romising gold and copper intercepts at Wadi Al Jaww</w:t>
      </w:r>
      <w:r w:rsidR="00D67440" w:rsidRPr="00AA2207">
        <w:rPr>
          <w:rFonts w:eastAsiaTheme="minorEastAsia" w:cs="Arial"/>
          <w:color w:val="000000" w:themeColor="text1"/>
          <w:szCs w:val="20"/>
        </w:rPr>
        <w:t xml:space="preserve"> and Shayban</w:t>
      </w:r>
      <w:r w:rsidR="005C7BBD" w:rsidRPr="00AA2207">
        <w:rPr>
          <w:rFonts w:eastAsiaTheme="minorEastAsia" w:cs="Arial"/>
          <w:color w:val="000000" w:themeColor="text1"/>
          <w:szCs w:val="20"/>
        </w:rPr>
        <w:t xml:space="preserve"> in the Arabian Shield </w:t>
      </w:r>
      <w:r w:rsidR="00F37979" w:rsidRPr="00AA2207">
        <w:rPr>
          <w:rFonts w:eastAsiaTheme="minorEastAsia" w:cs="Arial"/>
          <w:color w:val="000000" w:themeColor="text1"/>
          <w:szCs w:val="20"/>
        </w:rPr>
        <w:t>are the</w:t>
      </w:r>
      <w:r w:rsidR="005C7BBD" w:rsidRPr="00AA2207">
        <w:rPr>
          <w:rFonts w:eastAsiaTheme="minorEastAsia" w:cs="Arial"/>
          <w:color w:val="000000" w:themeColor="text1"/>
          <w:szCs w:val="20"/>
        </w:rPr>
        <w:t xml:space="preserve"> first set of drill results in an exciting new potential gold and copper district.</w:t>
      </w:r>
    </w:p>
    <w:p w14:paraId="734FEABA" w14:textId="43AEC074" w:rsidR="00DD0DD1" w:rsidRPr="00AA2207" w:rsidRDefault="00676C23" w:rsidP="00DD0DD1">
      <w:pPr>
        <w:jc w:val="both"/>
        <w:rPr>
          <w:rFonts w:eastAsiaTheme="minorEastAsia" w:cs="Arial"/>
          <w:color w:val="000000" w:themeColor="text1"/>
          <w:szCs w:val="20"/>
        </w:rPr>
      </w:pPr>
      <w:r w:rsidRPr="00AA2207">
        <w:rPr>
          <w:rFonts w:eastAsiaTheme="minorEastAsia" w:cs="Arial"/>
          <w:color w:val="000000" w:themeColor="text1"/>
          <w:szCs w:val="20"/>
        </w:rPr>
        <w:t>Ma’aden</w:t>
      </w:r>
      <w:r w:rsidR="00DD0DD1" w:rsidRPr="00AA2207">
        <w:rPr>
          <w:rFonts w:eastAsiaTheme="minorEastAsia" w:cs="Arial"/>
          <w:color w:val="000000" w:themeColor="text1"/>
          <w:szCs w:val="20"/>
        </w:rPr>
        <w:t xml:space="preserve"> revealed</w:t>
      </w:r>
      <w:r w:rsidRPr="00AA2207">
        <w:rPr>
          <w:rFonts w:eastAsiaTheme="minorEastAsia" w:cs="Arial"/>
          <w:color w:val="000000" w:themeColor="text1"/>
          <w:szCs w:val="20"/>
        </w:rPr>
        <w:t xml:space="preserve"> multiple intercepts </w:t>
      </w:r>
      <w:r w:rsidR="005E241E" w:rsidRPr="00AA2207">
        <w:rPr>
          <w:rFonts w:eastAsiaTheme="minorEastAsia" w:cs="Arial"/>
          <w:color w:val="000000" w:themeColor="text1"/>
          <w:szCs w:val="20"/>
        </w:rPr>
        <w:t xml:space="preserve">of </w:t>
      </w:r>
      <w:r w:rsidR="00FE21A1" w:rsidRPr="00AA2207">
        <w:rPr>
          <w:rFonts w:eastAsiaTheme="minorEastAsia" w:cs="Arial"/>
          <w:color w:val="000000" w:themeColor="text1"/>
          <w:szCs w:val="20"/>
        </w:rPr>
        <w:t xml:space="preserve">recoverable </w:t>
      </w:r>
      <w:r w:rsidR="003D6B4E" w:rsidRPr="00AA2207">
        <w:rPr>
          <w:rFonts w:eastAsiaTheme="minorEastAsia" w:cs="Arial"/>
          <w:color w:val="000000" w:themeColor="text1"/>
          <w:szCs w:val="20"/>
        </w:rPr>
        <w:t xml:space="preserve">gold and copper </w:t>
      </w:r>
      <w:r w:rsidR="00FE21A1" w:rsidRPr="00AA2207">
        <w:rPr>
          <w:rFonts w:eastAsiaTheme="minorEastAsia" w:cs="Arial"/>
          <w:color w:val="000000" w:themeColor="text1"/>
          <w:szCs w:val="20"/>
        </w:rPr>
        <w:t xml:space="preserve">grades </w:t>
      </w:r>
      <w:r w:rsidRPr="00AA2207">
        <w:rPr>
          <w:rFonts w:eastAsiaTheme="minorEastAsia" w:cs="Arial"/>
          <w:color w:val="000000" w:themeColor="text1"/>
          <w:szCs w:val="20"/>
        </w:rPr>
        <w:t xml:space="preserve">in the exploration areas of </w:t>
      </w:r>
      <w:r w:rsidR="00FE21A1" w:rsidRPr="00AA2207">
        <w:rPr>
          <w:rFonts w:eastAsiaTheme="minorEastAsia" w:cs="Arial"/>
          <w:color w:val="000000" w:themeColor="text1"/>
          <w:szCs w:val="20"/>
        </w:rPr>
        <w:t xml:space="preserve">the </w:t>
      </w:r>
      <w:r w:rsidRPr="00AA2207">
        <w:rPr>
          <w:rFonts w:eastAsiaTheme="minorEastAsia" w:cs="Arial"/>
          <w:color w:val="000000" w:themeColor="text1"/>
          <w:szCs w:val="20"/>
        </w:rPr>
        <w:t>Shayban EL</w:t>
      </w:r>
      <w:r w:rsidR="00FE21A1" w:rsidRPr="00AA2207">
        <w:rPr>
          <w:rFonts w:eastAsiaTheme="minorEastAsia" w:cs="Arial"/>
          <w:color w:val="000000" w:themeColor="text1"/>
          <w:szCs w:val="20"/>
        </w:rPr>
        <w:t xml:space="preserve"> at</w:t>
      </w:r>
      <w:r w:rsidRPr="00AA2207">
        <w:rPr>
          <w:rFonts w:eastAsiaTheme="minorEastAsia" w:cs="Arial"/>
          <w:color w:val="000000" w:themeColor="text1"/>
          <w:szCs w:val="20"/>
        </w:rPr>
        <w:t xml:space="preserve"> Blocks 6 and 7. The assay results to date indicate wide intersections of gold mineralization </w:t>
      </w:r>
      <w:r w:rsidR="00295685" w:rsidRPr="00AA2207">
        <w:rPr>
          <w:rFonts w:eastAsiaTheme="minorEastAsia" w:cs="Arial"/>
          <w:color w:val="000000" w:themeColor="text1"/>
          <w:szCs w:val="20"/>
        </w:rPr>
        <w:t xml:space="preserve">at Wadi Al Jaww and gold and copper </w:t>
      </w:r>
      <w:r w:rsidR="000C0590" w:rsidRPr="00AA2207">
        <w:rPr>
          <w:rFonts w:eastAsiaTheme="minorEastAsia" w:cs="Arial"/>
          <w:color w:val="000000" w:themeColor="text1"/>
          <w:szCs w:val="20"/>
        </w:rPr>
        <w:t>mineralisation</w:t>
      </w:r>
      <w:r w:rsidR="00295685" w:rsidRPr="00AA2207">
        <w:rPr>
          <w:rFonts w:eastAsiaTheme="minorEastAsia" w:cs="Arial"/>
          <w:color w:val="000000" w:themeColor="text1"/>
          <w:szCs w:val="20"/>
        </w:rPr>
        <w:t xml:space="preserve"> at Jabal Shayban</w:t>
      </w:r>
      <w:r w:rsidR="00D45350" w:rsidRPr="00AA2207">
        <w:rPr>
          <w:rFonts w:eastAsiaTheme="minorEastAsia" w:cs="Arial"/>
          <w:color w:val="000000" w:themeColor="text1"/>
          <w:szCs w:val="20"/>
        </w:rPr>
        <w:t xml:space="preserve">.  Mineralisation at both sites </w:t>
      </w:r>
      <w:r w:rsidR="00772D06" w:rsidRPr="00AA2207">
        <w:rPr>
          <w:rFonts w:eastAsiaTheme="minorEastAsia" w:cs="Arial"/>
          <w:color w:val="000000" w:themeColor="text1"/>
          <w:szCs w:val="20"/>
        </w:rPr>
        <w:t xml:space="preserve">occurs at </w:t>
      </w:r>
      <w:r w:rsidR="00FE21A1" w:rsidRPr="00AA2207">
        <w:rPr>
          <w:rFonts w:eastAsiaTheme="minorEastAsia" w:cs="Arial"/>
          <w:color w:val="000000" w:themeColor="text1"/>
          <w:szCs w:val="20"/>
        </w:rPr>
        <w:t xml:space="preserve">shallow </w:t>
      </w:r>
      <w:r w:rsidRPr="00AA2207">
        <w:rPr>
          <w:rFonts w:eastAsiaTheme="minorEastAsia" w:cs="Arial"/>
          <w:color w:val="000000" w:themeColor="text1"/>
          <w:szCs w:val="20"/>
        </w:rPr>
        <w:t xml:space="preserve">depths ranging from 20 to 200 meters, with the mineralization </w:t>
      </w:r>
      <w:r w:rsidR="00D67440" w:rsidRPr="00AA2207">
        <w:rPr>
          <w:rFonts w:eastAsiaTheme="minorEastAsia" w:cs="Arial"/>
          <w:color w:val="000000" w:themeColor="text1"/>
          <w:szCs w:val="20"/>
        </w:rPr>
        <w:t xml:space="preserve">extending deeper </w:t>
      </w:r>
      <w:r w:rsidRPr="00AA2207">
        <w:rPr>
          <w:rFonts w:eastAsiaTheme="minorEastAsia" w:cs="Arial"/>
          <w:color w:val="000000" w:themeColor="text1"/>
          <w:szCs w:val="20"/>
        </w:rPr>
        <w:t>and in all directions.</w:t>
      </w:r>
    </w:p>
    <w:p w14:paraId="4261E63B" w14:textId="1A7CC9B1" w:rsidR="00DD0DD1" w:rsidRPr="00AA2207" w:rsidRDefault="00676C23" w:rsidP="00DD0DD1">
      <w:pPr>
        <w:jc w:val="both"/>
        <w:rPr>
          <w:rFonts w:eastAsiaTheme="minorEastAsia" w:cs="Arial"/>
          <w:color w:val="000000" w:themeColor="text1"/>
          <w:szCs w:val="20"/>
        </w:rPr>
      </w:pPr>
      <w:r w:rsidRPr="00AA2207">
        <w:rPr>
          <w:rFonts w:eastAsiaTheme="minorEastAsia" w:cs="Arial"/>
          <w:color w:val="000000" w:themeColor="text1"/>
          <w:szCs w:val="20"/>
        </w:rPr>
        <w:t xml:space="preserve">Jabal Shayban has long been a hotspot for mineral exploration, with the earliest programs dating back to the 1940s. However, Wadi Al Jaww is a potential brand-new discovery, </w:t>
      </w:r>
      <w:r w:rsidR="00FE21A1" w:rsidRPr="00AA2207">
        <w:rPr>
          <w:rFonts w:eastAsiaTheme="minorEastAsia" w:cs="Arial"/>
          <w:color w:val="000000" w:themeColor="text1"/>
          <w:szCs w:val="20"/>
        </w:rPr>
        <w:t>with</w:t>
      </w:r>
      <w:r w:rsidRPr="00AA2207">
        <w:rPr>
          <w:rFonts w:eastAsiaTheme="minorEastAsia" w:cs="Arial"/>
          <w:color w:val="000000" w:themeColor="text1"/>
          <w:szCs w:val="20"/>
        </w:rPr>
        <w:t xml:space="preserve"> no prior exploration work</w:t>
      </w:r>
      <w:r w:rsidR="00FE21A1" w:rsidRPr="00AA2207">
        <w:rPr>
          <w:rFonts w:eastAsiaTheme="minorEastAsia" w:cs="Arial"/>
          <w:color w:val="000000" w:themeColor="text1"/>
          <w:szCs w:val="20"/>
        </w:rPr>
        <w:t xml:space="preserve"> undertaken at the site</w:t>
      </w:r>
      <w:r w:rsidRPr="00AA2207">
        <w:rPr>
          <w:rFonts w:eastAsiaTheme="minorEastAsia" w:cs="Arial"/>
          <w:color w:val="000000" w:themeColor="text1"/>
          <w:szCs w:val="20"/>
        </w:rPr>
        <w:t xml:space="preserve">. Ma’aden’s potential success at both sites showcases the exceptional capability of Ma’aden’s exploration team to </w:t>
      </w:r>
      <w:r w:rsidR="00FE21A1" w:rsidRPr="00AA2207">
        <w:rPr>
          <w:rFonts w:eastAsiaTheme="minorEastAsia" w:cs="Arial"/>
          <w:color w:val="000000" w:themeColor="text1"/>
          <w:szCs w:val="20"/>
        </w:rPr>
        <w:t xml:space="preserve">successfully </w:t>
      </w:r>
      <w:r w:rsidRPr="00AA2207">
        <w:rPr>
          <w:rFonts w:eastAsiaTheme="minorEastAsia" w:cs="Arial"/>
          <w:color w:val="000000" w:themeColor="text1"/>
          <w:szCs w:val="20"/>
        </w:rPr>
        <w:t>unlock and unearth new</w:t>
      </w:r>
      <w:r w:rsidR="00FE21A1" w:rsidRPr="00AA2207">
        <w:rPr>
          <w:rFonts w:eastAsiaTheme="minorEastAsia" w:cs="Arial"/>
          <w:color w:val="000000" w:themeColor="text1"/>
          <w:szCs w:val="20"/>
        </w:rPr>
        <w:t xml:space="preserve"> potential</w:t>
      </w:r>
      <w:r w:rsidRPr="00AA2207">
        <w:rPr>
          <w:rFonts w:eastAsiaTheme="minorEastAsia" w:cs="Arial"/>
          <w:color w:val="000000" w:themeColor="text1"/>
          <w:szCs w:val="20"/>
        </w:rPr>
        <w:t xml:space="preserve"> orebodies in the Kingdom.</w:t>
      </w:r>
    </w:p>
    <w:p w14:paraId="4F62ACC9" w14:textId="77777777" w:rsidR="00DD0DD1" w:rsidRPr="00AA2207" w:rsidRDefault="00676C23" w:rsidP="00DD0DD1">
      <w:pPr>
        <w:jc w:val="both"/>
        <w:rPr>
          <w:rFonts w:eastAsiaTheme="minorEastAsia" w:cs="Arial"/>
          <w:color w:val="000000" w:themeColor="text1"/>
          <w:szCs w:val="20"/>
        </w:rPr>
      </w:pPr>
      <w:r w:rsidRPr="00AA2207">
        <w:rPr>
          <w:rFonts w:eastAsiaTheme="minorEastAsia" w:cs="Arial"/>
          <w:color w:val="000000" w:themeColor="text1"/>
          <w:szCs w:val="20"/>
        </w:rPr>
        <w:t>The exploration project remains at an early stage, and Ma’aden’s understanding of the mineralized zone is still developing. Ma’aden does not yet have enough information to estimate the size and quality of the mineralization or to estimate the Mineral Resource. Work to assess and interpret the data acquired so far is ongoing and will inform drilling activities through 2025.</w:t>
      </w:r>
    </w:p>
    <w:p w14:paraId="7E593B81" w14:textId="6842B8F3" w:rsidR="006D004E" w:rsidRPr="00AA2207" w:rsidRDefault="00676C23" w:rsidP="00DD0DD1">
      <w:pPr>
        <w:jc w:val="both"/>
        <w:rPr>
          <w:rFonts w:eastAsiaTheme="minorEastAsia" w:cs="Arial"/>
          <w:color w:val="000000" w:themeColor="text1"/>
          <w:szCs w:val="20"/>
        </w:rPr>
      </w:pPr>
      <w:r w:rsidRPr="00AA2207">
        <w:rPr>
          <w:rFonts w:eastAsiaTheme="minorEastAsia" w:cs="Arial"/>
          <w:color w:val="000000" w:themeColor="text1"/>
          <w:szCs w:val="20"/>
        </w:rPr>
        <w:t xml:space="preserve">The report </w:t>
      </w:r>
      <w:r w:rsidR="00E66672" w:rsidRPr="00AA2207">
        <w:rPr>
          <w:rFonts w:eastAsiaTheme="minorEastAsia" w:cs="Arial"/>
          <w:color w:val="000000" w:themeColor="text1"/>
          <w:szCs w:val="20"/>
        </w:rPr>
        <w:t xml:space="preserve">at appendix 1 </w:t>
      </w:r>
      <w:r w:rsidRPr="00AA2207">
        <w:rPr>
          <w:rFonts w:eastAsiaTheme="minorEastAsia" w:cs="Arial"/>
          <w:color w:val="000000" w:themeColor="text1"/>
          <w:szCs w:val="20"/>
        </w:rPr>
        <w:t>contains a detailed description of the work undertaken and the results of the program so far.</w:t>
      </w:r>
    </w:p>
    <w:p w14:paraId="416D9654" w14:textId="0834BED0" w:rsidR="005C7BBD" w:rsidRPr="00AA2207" w:rsidRDefault="00871ED8" w:rsidP="005C7BBD">
      <w:pPr>
        <w:jc w:val="both"/>
        <w:rPr>
          <w:rFonts w:cs="Arial"/>
          <w:b/>
          <w:bCs/>
          <w:szCs w:val="20"/>
        </w:rPr>
      </w:pPr>
      <w:r w:rsidRPr="00AA2207">
        <w:rPr>
          <w:rFonts w:cs="Arial"/>
          <w:b/>
          <w:bCs/>
          <w:szCs w:val="20"/>
        </w:rPr>
        <w:t>Latest</w:t>
      </w:r>
      <w:r w:rsidR="005C7BBD" w:rsidRPr="00AA2207">
        <w:rPr>
          <w:rFonts w:cs="Arial"/>
          <w:b/>
          <w:bCs/>
          <w:szCs w:val="20"/>
        </w:rPr>
        <w:t xml:space="preserve"> gold findings </w:t>
      </w:r>
      <w:r w:rsidRPr="00AA2207">
        <w:rPr>
          <w:rFonts w:cs="Arial"/>
          <w:b/>
          <w:bCs/>
          <w:szCs w:val="20"/>
        </w:rPr>
        <w:t xml:space="preserve">announced </w:t>
      </w:r>
      <w:r w:rsidR="005C7BBD" w:rsidRPr="00AA2207">
        <w:rPr>
          <w:rFonts w:cs="Arial"/>
          <w:b/>
          <w:bCs/>
          <w:szCs w:val="20"/>
        </w:rPr>
        <w:t>at Mansourah Massarah, building on previous drilling success</w:t>
      </w:r>
    </w:p>
    <w:p w14:paraId="4DCD0663" w14:textId="5DFD3AFB" w:rsidR="00D95D9F" w:rsidRPr="00AA2207" w:rsidRDefault="005C7BBD" w:rsidP="002E5FA6">
      <w:pPr>
        <w:jc w:val="both"/>
        <w:rPr>
          <w:rFonts w:cs="Arial"/>
          <w:szCs w:val="20"/>
        </w:rPr>
      </w:pPr>
      <w:r w:rsidRPr="00AA2207">
        <w:rPr>
          <w:rFonts w:cs="Arial"/>
          <w:color w:val="000000" w:themeColor="text1"/>
          <w:szCs w:val="20"/>
        </w:rPr>
        <w:t xml:space="preserve">Ma’aden also announced further results of its drilling programs at its flagship Mansourah </w:t>
      </w:r>
      <w:r w:rsidR="00526998" w:rsidRPr="00AA2207">
        <w:rPr>
          <w:rFonts w:cs="Arial"/>
          <w:color w:val="000000" w:themeColor="text1"/>
          <w:szCs w:val="20"/>
        </w:rPr>
        <w:t>-</w:t>
      </w:r>
      <w:r w:rsidRPr="00AA2207">
        <w:rPr>
          <w:rFonts w:cs="Arial"/>
          <w:color w:val="000000" w:themeColor="text1"/>
          <w:szCs w:val="20"/>
        </w:rPr>
        <w:t xml:space="preserve"> Massarah gold mine, continuing to demonstrate strong gold mineralisation below the current pit design as well as a significant high-grade extension at depth, highlighting the underground potential beneath the current open pits at Mansourah </w:t>
      </w:r>
      <w:r w:rsidR="00526998" w:rsidRPr="00AA2207">
        <w:rPr>
          <w:rFonts w:cs="Arial"/>
          <w:color w:val="000000" w:themeColor="text1"/>
          <w:szCs w:val="20"/>
        </w:rPr>
        <w:t>-</w:t>
      </w:r>
      <w:r w:rsidRPr="00AA2207">
        <w:rPr>
          <w:rFonts w:cs="Arial"/>
          <w:color w:val="000000" w:themeColor="text1"/>
          <w:szCs w:val="20"/>
        </w:rPr>
        <w:t xml:space="preserve"> Massarah.</w:t>
      </w:r>
      <w:r w:rsidR="002E5FA6" w:rsidRPr="00AA2207">
        <w:rPr>
          <w:rFonts w:cs="Arial"/>
          <w:color w:val="000000" w:themeColor="text1"/>
          <w:szCs w:val="20"/>
        </w:rPr>
        <w:t xml:space="preserve"> </w:t>
      </w:r>
      <w:r w:rsidR="002E5FA6" w:rsidRPr="00AA2207">
        <w:rPr>
          <w:rFonts w:cs="Arial"/>
          <w:szCs w:val="20"/>
        </w:rPr>
        <w:t>The</w:t>
      </w:r>
      <w:r w:rsidR="002E5FA6" w:rsidRPr="00AA2207">
        <w:rPr>
          <w:rFonts w:cs="Arial"/>
          <w:b/>
          <w:bCs/>
          <w:szCs w:val="20"/>
        </w:rPr>
        <w:t xml:space="preserve"> </w:t>
      </w:r>
      <w:r w:rsidR="002E5FA6" w:rsidRPr="00AA2207">
        <w:rPr>
          <w:rFonts w:cs="Arial"/>
          <w:szCs w:val="20"/>
        </w:rPr>
        <w:t xml:space="preserve">latest results build on successful gold drilling results at Mansourah </w:t>
      </w:r>
      <w:r w:rsidR="009B30A6" w:rsidRPr="00AA2207">
        <w:rPr>
          <w:rFonts w:cs="Arial"/>
          <w:szCs w:val="20"/>
        </w:rPr>
        <w:t>-</w:t>
      </w:r>
      <w:r w:rsidR="002E5FA6" w:rsidRPr="00AA2207">
        <w:rPr>
          <w:rFonts w:cs="Arial"/>
          <w:szCs w:val="20"/>
        </w:rPr>
        <w:t xml:space="preserve"> Massarah announced by Ma’aden in December 2023, which showed</w:t>
      </w:r>
      <w:r w:rsidR="00D95D9F" w:rsidRPr="00AA2207">
        <w:rPr>
          <w:rFonts w:cs="Arial"/>
          <w:szCs w:val="20"/>
        </w:rPr>
        <w:t xml:space="preserve"> high grade intercepts including 61m grading at 10.4 g/t Au and 20m grading at 20.6g/t Au within 400m of the </w:t>
      </w:r>
      <w:r w:rsidR="009B30A6" w:rsidRPr="00AA2207">
        <w:rPr>
          <w:rFonts w:cs="Arial"/>
          <w:szCs w:val="20"/>
        </w:rPr>
        <w:t>mine.</w:t>
      </w:r>
    </w:p>
    <w:p w14:paraId="3EAD4744" w14:textId="23820380" w:rsidR="005C7BBD" w:rsidRPr="00AA2207" w:rsidRDefault="002E5FA6" w:rsidP="002E5FA6">
      <w:pPr>
        <w:jc w:val="both"/>
        <w:rPr>
          <w:rFonts w:cs="Arial"/>
          <w:szCs w:val="20"/>
        </w:rPr>
      </w:pPr>
      <w:r w:rsidRPr="00AA2207">
        <w:rPr>
          <w:rFonts w:cs="Arial"/>
          <w:szCs w:val="20"/>
        </w:rPr>
        <w:lastRenderedPageBreak/>
        <w:t xml:space="preserve">These latest results show significant high-grade mineralisation has been intersected outside of previously modelled mineralisation domains, at extents up to 220m below the deepest part of the current open pit mine. </w:t>
      </w:r>
    </w:p>
    <w:p w14:paraId="05149A3A" w14:textId="2442DD70" w:rsidR="006B01B7" w:rsidRPr="00AA2207" w:rsidRDefault="006B01B7" w:rsidP="006B01B7">
      <w:pPr>
        <w:jc w:val="both"/>
        <w:rPr>
          <w:rFonts w:eastAsiaTheme="minorEastAsia" w:cs="Arial"/>
          <w:color w:val="000000" w:themeColor="text1"/>
          <w:szCs w:val="20"/>
          <w:lang w:val="en-US"/>
        </w:rPr>
      </w:pPr>
      <w:r w:rsidRPr="00AA2207">
        <w:rPr>
          <w:rFonts w:eastAsiaTheme="minorEastAsia" w:cs="Arial"/>
          <w:b/>
          <w:bCs/>
          <w:color w:val="000000" w:themeColor="text1"/>
          <w:szCs w:val="20"/>
        </w:rPr>
        <w:t>Bob Wilt, CEO of Ma’aden said</w:t>
      </w:r>
      <w:r w:rsidRPr="00AA2207">
        <w:rPr>
          <w:rFonts w:eastAsiaTheme="minorEastAsia" w:cs="Arial"/>
          <w:color w:val="000000" w:themeColor="text1"/>
          <w:szCs w:val="20"/>
        </w:rPr>
        <w:t>, “We’ve been making significant investments in exploration in recent years, with the launch of the world’s largest single-jurisdiction mineral exploration programs. Through the</w:t>
      </w:r>
      <w:r w:rsidRPr="00AA2207">
        <w:rPr>
          <w:rFonts w:eastAsiaTheme="minorEastAsia" w:cs="Arial"/>
          <w:color w:val="000000" w:themeColor="text1"/>
          <w:szCs w:val="20"/>
          <w:lang w:val="en-US"/>
        </w:rPr>
        <w:t xml:space="preserve"> work we have </w:t>
      </w:r>
      <w:r w:rsidR="00131472" w:rsidRPr="00AA2207">
        <w:rPr>
          <w:rFonts w:eastAsiaTheme="minorEastAsia" w:cs="Arial"/>
          <w:color w:val="000000" w:themeColor="text1"/>
          <w:szCs w:val="20"/>
          <w:lang w:val="en-US"/>
        </w:rPr>
        <w:t>undertaken in recent years</w:t>
      </w:r>
      <w:r w:rsidRPr="00AA2207">
        <w:rPr>
          <w:rFonts w:eastAsiaTheme="minorEastAsia" w:cs="Arial"/>
          <w:color w:val="000000" w:themeColor="text1"/>
          <w:szCs w:val="20"/>
          <w:lang w:val="en-US"/>
        </w:rPr>
        <w:t>,</w:t>
      </w:r>
      <w:r w:rsidRPr="00AA2207">
        <w:rPr>
          <w:rFonts w:eastAsiaTheme="minorEastAsia" w:cs="Arial"/>
          <w:color w:val="000000" w:themeColor="text1"/>
          <w:szCs w:val="20"/>
        </w:rPr>
        <w:t xml:space="preserve"> the </w:t>
      </w:r>
      <w:r w:rsidRPr="00AA2207">
        <w:rPr>
          <w:rFonts w:eastAsiaTheme="minorEastAsia" w:cs="Arial"/>
          <w:color w:val="000000" w:themeColor="text1"/>
          <w:szCs w:val="20"/>
          <w:lang w:val="en-US"/>
        </w:rPr>
        <w:t>raw prospectivity of the Kingdom has been proven. The results announced today provide a further boost as</w:t>
      </w:r>
      <w:r w:rsidRPr="00AA2207">
        <w:rPr>
          <w:rFonts w:eastAsiaTheme="minorEastAsia" w:cs="Arial"/>
          <w:color w:val="000000" w:themeColor="text1"/>
          <w:szCs w:val="20"/>
        </w:rPr>
        <w:t xml:space="preserve"> we continue to accelerate drilling activities across our exploration program in 2025</w:t>
      </w:r>
      <w:r w:rsidRPr="00AA2207">
        <w:rPr>
          <w:rFonts w:eastAsiaTheme="minorEastAsia" w:cs="Arial"/>
          <w:color w:val="000000" w:themeColor="text1"/>
          <w:szCs w:val="20"/>
          <w:lang w:val="en-US"/>
        </w:rPr>
        <w:t>.</w:t>
      </w:r>
    </w:p>
    <w:p w14:paraId="6E42293A" w14:textId="444F827D" w:rsidR="006B01B7" w:rsidRPr="00AA2207" w:rsidRDefault="006B01B7" w:rsidP="006B01B7">
      <w:pPr>
        <w:jc w:val="both"/>
        <w:rPr>
          <w:rFonts w:eastAsiaTheme="minorEastAsia" w:cs="Arial"/>
          <w:color w:val="000000" w:themeColor="text1"/>
          <w:szCs w:val="20"/>
          <w:lang w:val="en-US"/>
        </w:rPr>
      </w:pPr>
      <w:r w:rsidRPr="00AA2207">
        <w:rPr>
          <w:rFonts w:eastAsiaTheme="minorEastAsia" w:cs="Arial"/>
          <w:color w:val="000000" w:themeColor="text1"/>
          <w:szCs w:val="20"/>
          <w:lang w:val="en-US"/>
        </w:rPr>
        <w:t>“</w:t>
      </w:r>
      <w:r w:rsidR="00131472" w:rsidRPr="00AA2207">
        <w:rPr>
          <w:rFonts w:eastAsiaTheme="minorEastAsia" w:cs="Arial"/>
          <w:color w:val="000000" w:themeColor="text1"/>
          <w:szCs w:val="20"/>
          <w:lang w:val="en-US"/>
        </w:rPr>
        <w:t xml:space="preserve">We have committed to </w:t>
      </w:r>
      <w:r w:rsidR="00143B87" w:rsidRPr="00AA2207">
        <w:rPr>
          <w:rFonts w:eastAsiaTheme="minorEastAsia" w:cs="Arial"/>
          <w:color w:val="000000" w:themeColor="text1"/>
          <w:szCs w:val="20"/>
          <w:lang w:val="en-US"/>
        </w:rPr>
        <w:t>establish</w:t>
      </w:r>
      <w:r w:rsidR="00131472" w:rsidRPr="00AA2207">
        <w:rPr>
          <w:rFonts w:eastAsiaTheme="minorEastAsia" w:cs="Arial"/>
          <w:color w:val="000000" w:themeColor="text1"/>
          <w:szCs w:val="20"/>
          <w:lang w:val="en-US"/>
        </w:rPr>
        <w:t>ing</w:t>
      </w:r>
      <w:r w:rsidR="00143B87" w:rsidRPr="00AA2207">
        <w:rPr>
          <w:rFonts w:eastAsiaTheme="minorEastAsia" w:cs="Arial"/>
          <w:color w:val="000000" w:themeColor="text1"/>
          <w:szCs w:val="20"/>
          <w:lang w:val="en-US"/>
        </w:rPr>
        <w:t xml:space="preserve"> mining as the third pilla</w:t>
      </w:r>
      <w:r w:rsidR="007256A5" w:rsidRPr="00AA2207">
        <w:rPr>
          <w:rFonts w:eastAsiaTheme="minorEastAsia" w:cs="Arial"/>
          <w:color w:val="000000" w:themeColor="text1"/>
          <w:szCs w:val="20"/>
          <w:lang w:val="en-US"/>
        </w:rPr>
        <w:t xml:space="preserve">r of the Saudi economy, </w:t>
      </w:r>
      <w:r w:rsidR="00131472" w:rsidRPr="00AA2207">
        <w:rPr>
          <w:rFonts w:eastAsiaTheme="minorEastAsia" w:cs="Arial"/>
          <w:color w:val="000000" w:themeColor="text1"/>
          <w:szCs w:val="20"/>
          <w:lang w:val="en-US"/>
        </w:rPr>
        <w:t xml:space="preserve">in line with Vision 2030. These </w:t>
      </w:r>
      <w:r w:rsidR="00DE1CBA" w:rsidRPr="00AA2207">
        <w:rPr>
          <w:rFonts w:eastAsiaTheme="minorEastAsia" w:cs="Arial"/>
          <w:color w:val="000000" w:themeColor="text1"/>
          <w:szCs w:val="20"/>
          <w:lang w:val="en-US"/>
        </w:rPr>
        <w:t xml:space="preserve">announcements and the progress we continue to drive forward with at pace is indicative to </w:t>
      </w:r>
      <w:r w:rsidR="00C24CA5" w:rsidRPr="00AA2207">
        <w:rPr>
          <w:rFonts w:eastAsiaTheme="minorEastAsia" w:cs="Arial"/>
          <w:color w:val="000000" w:themeColor="text1"/>
          <w:szCs w:val="20"/>
          <w:lang w:val="en-US"/>
        </w:rPr>
        <w:t xml:space="preserve">the </w:t>
      </w:r>
      <w:r w:rsidR="00CE5ACD" w:rsidRPr="00AA2207">
        <w:rPr>
          <w:rFonts w:eastAsiaTheme="minorEastAsia" w:cs="Arial"/>
          <w:color w:val="000000" w:themeColor="text1"/>
          <w:szCs w:val="20"/>
          <w:lang w:val="en-US"/>
        </w:rPr>
        <w:t xml:space="preserve">reality that that has now become. The focus that the kingdom has </w:t>
      </w:r>
      <w:r w:rsidR="00386027" w:rsidRPr="00AA2207">
        <w:rPr>
          <w:rFonts w:eastAsiaTheme="minorEastAsia" w:cs="Arial"/>
          <w:color w:val="000000" w:themeColor="text1"/>
          <w:szCs w:val="20"/>
          <w:lang w:val="en-US"/>
        </w:rPr>
        <w:t xml:space="preserve">placed on accelerating </w:t>
      </w:r>
      <w:r w:rsidR="00C24CA5" w:rsidRPr="00AA2207">
        <w:rPr>
          <w:rFonts w:eastAsiaTheme="minorEastAsia" w:cs="Arial"/>
          <w:color w:val="000000" w:themeColor="text1"/>
          <w:szCs w:val="20"/>
          <w:lang w:val="en-US"/>
        </w:rPr>
        <w:t xml:space="preserve">the mining and minerals sector has </w:t>
      </w:r>
      <w:r w:rsidR="006509E9" w:rsidRPr="00AA2207">
        <w:rPr>
          <w:rFonts w:eastAsiaTheme="minorEastAsia" w:cs="Arial"/>
          <w:color w:val="000000" w:themeColor="text1"/>
          <w:szCs w:val="20"/>
          <w:lang w:val="en-US"/>
        </w:rPr>
        <w:t>created significant opportunities for growth and development</w:t>
      </w:r>
      <w:r w:rsidR="00A806A3" w:rsidRPr="00AA2207">
        <w:rPr>
          <w:rFonts w:eastAsiaTheme="minorEastAsia" w:cs="Arial"/>
          <w:color w:val="000000" w:themeColor="text1"/>
          <w:szCs w:val="20"/>
          <w:lang w:val="en-US"/>
        </w:rPr>
        <w:t>.”</w:t>
      </w:r>
    </w:p>
    <w:p w14:paraId="77662A57" w14:textId="00D6DC10" w:rsidR="005C7BBD" w:rsidRPr="00AA2207" w:rsidRDefault="005C7BBD" w:rsidP="00C9372C">
      <w:pPr>
        <w:jc w:val="both"/>
        <w:rPr>
          <w:rFonts w:cs="Arial"/>
          <w:szCs w:val="20"/>
        </w:rPr>
      </w:pPr>
      <w:r w:rsidRPr="00AA2207">
        <w:rPr>
          <w:rFonts w:cs="Arial"/>
          <w:szCs w:val="20"/>
        </w:rPr>
        <w:t xml:space="preserve">These results continue to strengthen Ma’aden’s view that an underground operation could be sustained at Mansourah </w:t>
      </w:r>
      <w:r w:rsidR="00526998" w:rsidRPr="00AA2207">
        <w:rPr>
          <w:rFonts w:cs="Arial"/>
          <w:szCs w:val="20"/>
        </w:rPr>
        <w:t>-</w:t>
      </w:r>
      <w:r w:rsidRPr="00AA2207">
        <w:rPr>
          <w:rFonts w:cs="Arial"/>
          <w:szCs w:val="20"/>
        </w:rPr>
        <w:t xml:space="preserve"> Massarah and drilling is planned for 2025 to further grow and convert Mineral Resources estimates.</w:t>
      </w:r>
    </w:p>
    <w:p w14:paraId="2291BAF3" w14:textId="77777777" w:rsidR="00885F1C" w:rsidRPr="00AA2207" w:rsidRDefault="00885F1C" w:rsidP="00C9372C">
      <w:pPr>
        <w:jc w:val="both"/>
        <w:rPr>
          <w:rFonts w:cs="Arial"/>
          <w:szCs w:val="20"/>
          <w:lang w:val="en-US"/>
        </w:rPr>
      </w:pPr>
    </w:p>
    <w:p w14:paraId="7F66B9E1" w14:textId="4044D39F" w:rsidR="00845C3A" w:rsidRPr="00AA2207" w:rsidRDefault="00845C3A" w:rsidP="00845C3A">
      <w:pPr>
        <w:jc w:val="center"/>
        <w:rPr>
          <w:rFonts w:cs="Arial"/>
          <w:b/>
          <w:bCs/>
          <w:szCs w:val="20"/>
          <w:lang w:val="en-US"/>
        </w:rPr>
      </w:pPr>
      <w:r w:rsidRPr="00AA2207">
        <w:rPr>
          <w:rFonts w:cs="Arial"/>
          <w:b/>
          <w:bCs/>
          <w:szCs w:val="20"/>
          <w:lang w:val="en-US"/>
        </w:rPr>
        <w:t>END</w:t>
      </w:r>
    </w:p>
    <w:p w14:paraId="5DF95A7C" w14:textId="77777777" w:rsidR="005C7BBD" w:rsidRPr="00DD0DD1" w:rsidRDefault="005C7BBD" w:rsidP="00DD0DD1">
      <w:pPr>
        <w:jc w:val="both"/>
        <w:rPr>
          <w:rFonts w:cs="Arial"/>
          <w:b/>
          <w:bCs/>
          <w:szCs w:val="20"/>
        </w:rPr>
      </w:pPr>
    </w:p>
    <w:p w14:paraId="6BFC6D65" w14:textId="77777777" w:rsidR="00D17862" w:rsidRPr="00DD0DD1" w:rsidRDefault="00D17862" w:rsidP="00DD0DD1">
      <w:pPr>
        <w:jc w:val="both"/>
        <w:rPr>
          <w:rFonts w:cs="Arial"/>
          <w:szCs w:val="20"/>
        </w:rPr>
      </w:pPr>
    </w:p>
    <w:p w14:paraId="5ED32C83" w14:textId="77777777" w:rsidR="00E66672" w:rsidRDefault="00E66672">
      <w:pPr>
        <w:spacing w:after="160" w:line="278" w:lineRule="auto"/>
        <w:rPr>
          <w:rFonts w:eastAsiaTheme="minorEastAsia" w:cs="Arial"/>
          <w:b/>
          <w:bCs/>
          <w:color w:val="000000" w:themeColor="text1"/>
          <w:szCs w:val="20"/>
        </w:rPr>
      </w:pPr>
      <w:r>
        <w:rPr>
          <w:rFonts w:eastAsiaTheme="minorEastAsia" w:cs="Arial"/>
          <w:b/>
          <w:bCs/>
          <w:color w:val="000000" w:themeColor="text1"/>
          <w:szCs w:val="20"/>
        </w:rPr>
        <w:br w:type="page"/>
      </w:r>
    </w:p>
    <w:p w14:paraId="0A02EBEB" w14:textId="1FD0C8B9" w:rsidR="00E66672" w:rsidRDefault="00E66672" w:rsidP="000D20C2">
      <w:pPr>
        <w:pStyle w:val="Heading1"/>
        <w:jc w:val="center"/>
        <w:rPr>
          <w:rFonts w:ascii="Arial" w:eastAsiaTheme="minorEastAsia" w:hAnsi="Arial" w:cs="Arial"/>
          <w:b/>
          <w:bCs/>
          <w:color w:val="000000" w:themeColor="text1"/>
          <w:sz w:val="20"/>
          <w:szCs w:val="20"/>
        </w:rPr>
      </w:pPr>
      <w:r>
        <w:rPr>
          <w:rFonts w:ascii="Arial" w:eastAsiaTheme="minorEastAsia" w:hAnsi="Arial" w:cs="Arial"/>
          <w:b/>
          <w:bCs/>
          <w:color w:val="000000" w:themeColor="text1"/>
          <w:sz w:val="20"/>
          <w:szCs w:val="20"/>
        </w:rPr>
        <w:lastRenderedPageBreak/>
        <w:t>Appendix 1</w:t>
      </w:r>
    </w:p>
    <w:p w14:paraId="47E68951" w14:textId="4ECB8D2D" w:rsidR="00816D16" w:rsidRPr="000D20C2" w:rsidRDefault="00816D16" w:rsidP="0084626C">
      <w:pPr>
        <w:pStyle w:val="Heading1"/>
        <w:jc w:val="both"/>
        <w:rPr>
          <w:rFonts w:ascii="Arial" w:eastAsiaTheme="minorHAnsi" w:hAnsi="Arial" w:cs="Arial"/>
          <w:b/>
          <w:bCs/>
          <w:color w:val="000000" w:themeColor="text1"/>
          <w:sz w:val="22"/>
          <w:szCs w:val="22"/>
        </w:rPr>
      </w:pPr>
      <w:r w:rsidRPr="000D20C2">
        <w:rPr>
          <w:rFonts w:ascii="Arial" w:eastAsiaTheme="minorEastAsia" w:hAnsi="Arial" w:cs="Arial"/>
          <w:b/>
          <w:bCs/>
          <w:color w:val="000000" w:themeColor="text1"/>
          <w:sz w:val="22"/>
          <w:szCs w:val="22"/>
        </w:rPr>
        <w:t xml:space="preserve">Wadi Al Jaww </w:t>
      </w:r>
      <w:r w:rsidR="0084626C" w:rsidRPr="000D20C2">
        <w:rPr>
          <w:rFonts w:ascii="Arial" w:eastAsiaTheme="minorEastAsia" w:hAnsi="Arial" w:cs="Arial"/>
          <w:b/>
          <w:bCs/>
          <w:color w:val="000000" w:themeColor="text1"/>
          <w:sz w:val="22"/>
          <w:szCs w:val="22"/>
        </w:rPr>
        <w:t>and Jabal Shayban</w:t>
      </w:r>
      <w:r w:rsidR="0084626C" w:rsidRPr="000D20C2" w:rsidDel="0084626C">
        <w:rPr>
          <w:rFonts w:ascii="Arial" w:eastAsiaTheme="minorEastAsia" w:hAnsi="Arial" w:cs="Arial"/>
          <w:b/>
          <w:bCs/>
          <w:color w:val="000000" w:themeColor="text1"/>
          <w:sz w:val="22"/>
          <w:szCs w:val="22"/>
        </w:rPr>
        <w:t xml:space="preserve"> </w:t>
      </w:r>
    </w:p>
    <w:p w14:paraId="3A730B2B" w14:textId="34591155" w:rsidR="00734F82" w:rsidRPr="00DD0DD1" w:rsidRDefault="00E66672" w:rsidP="00DD0DD1">
      <w:pPr>
        <w:pStyle w:val="Heading1"/>
        <w:jc w:val="both"/>
        <w:rPr>
          <w:rFonts w:ascii="Arial" w:eastAsiaTheme="minorHAnsi" w:hAnsi="Arial" w:cs="Arial"/>
          <w:b/>
          <w:color w:val="000000" w:themeColor="text1"/>
          <w:sz w:val="20"/>
          <w:szCs w:val="20"/>
        </w:rPr>
      </w:pPr>
      <w:r>
        <w:rPr>
          <w:rFonts w:ascii="Arial" w:eastAsiaTheme="minorHAnsi" w:hAnsi="Arial" w:cs="Arial"/>
          <w:b/>
          <w:color w:val="000000" w:themeColor="text1"/>
          <w:sz w:val="20"/>
          <w:szCs w:val="20"/>
        </w:rPr>
        <w:t>Background</w:t>
      </w:r>
    </w:p>
    <w:p w14:paraId="1472FCB1" w14:textId="78C463A2" w:rsidR="00734F82" w:rsidRDefault="00734F82" w:rsidP="0084626C">
      <w:pPr>
        <w:jc w:val="both"/>
        <w:rPr>
          <w:rFonts w:eastAsiaTheme="minorEastAsia" w:cs="Arial"/>
          <w:color w:val="000000" w:themeColor="text1"/>
          <w:szCs w:val="20"/>
        </w:rPr>
      </w:pPr>
      <w:r w:rsidRPr="00DD0DD1">
        <w:rPr>
          <w:rFonts w:eastAsiaTheme="minorEastAsia" w:cs="Arial"/>
          <w:color w:val="000000" w:themeColor="text1"/>
          <w:szCs w:val="20"/>
        </w:rPr>
        <w:t xml:space="preserve">Ma’aden </w:t>
      </w:r>
      <w:r w:rsidR="00E66672">
        <w:rPr>
          <w:rFonts w:eastAsiaTheme="minorEastAsia" w:cs="Arial"/>
          <w:color w:val="000000" w:themeColor="text1"/>
          <w:szCs w:val="20"/>
        </w:rPr>
        <w:t>have achieved</w:t>
      </w:r>
      <w:r w:rsidR="00E66672" w:rsidRPr="00DD0DD1">
        <w:rPr>
          <w:rFonts w:eastAsiaTheme="minorEastAsia" w:cs="Arial"/>
          <w:color w:val="000000" w:themeColor="text1"/>
          <w:szCs w:val="20"/>
        </w:rPr>
        <w:t xml:space="preserve"> </w:t>
      </w:r>
      <w:r w:rsidRPr="00DD0DD1">
        <w:rPr>
          <w:rFonts w:eastAsiaTheme="minorEastAsia" w:cs="Arial"/>
          <w:color w:val="000000" w:themeColor="text1"/>
          <w:szCs w:val="20"/>
        </w:rPr>
        <w:t xml:space="preserve">a very promising first set of drilling results </w:t>
      </w:r>
      <w:r w:rsidR="00E66672">
        <w:rPr>
          <w:rFonts w:eastAsiaTheme="minorEastAsia" w:cs="Arial"/>
          <w:color w:val="000000" w:themeColor="text1"/>
          <w:szCs w:val="20"/>
        </w:rPr>
        <w:t>at</w:t>
      </w:r>
      <w:r w:rsidRPr="00DD0DD1">
        <w:rPr>
          <w:rFonts w:eastAsiaTheme="minorEastAsia" w:cs="Arial"/>
          <w:color w:val="000000" w:themeColor="text1"/>
          <w:szCs w:val="20"/>
        </w:rPr>
        <w:t xml:space="preserve"> its exploration program</w:t>
      </w:r>
      <w:r w:rsidR="00E66672">
        <w:rPr>
          <w:rFonts w:eastAsiaTheme="minorEastAsia" w:cs="Arial"/>
          <w:color w:val="000000" w:themeColor="text1"/>
          <w:szCs w:val="20"/>
        </w:rPr>
        <w:t xml:space="preserve"> at </w:t>
      </w:r>
      <w:r w:rsidR="6C6BF2D5" w:rsidRPr="00DD0DD1">
        <w:rPr>
          <w:rFonts w:eastAsiaTheme="minorEastAsia" w:cs="Arial"/>
          <w:color w:val="000000" w:themeColor="text1"/>
          <w:szCs w:val="20"/>
        </w:rPr>
        <w:t>Wadi Al Jaww and Jabal Shayban</w:t>
      </w:r>
      <w:r w:rsidR="0084626C">
        <w:rPr>
          <w:rFonts w:eastAsiaTheme="minorEastAsia" w:cs="Arial"/>
          <w:color w:val="000000" w:themeColor="text1"/>
          <w:szCs w:val="20"/>
        </w:rPr>
        <w:t>,</w:t>
      </w:r>
      <w:r w:rsidR="6C6BF2D5" w:rsidRPr="00DD0DD1">
        <w:rPr>
          <w:rFonts w:eastAsiaTheme="minorEastAsia" w:cs="Arial"/>
          <w:color w:val="000000" w:themeColor="text1"/>
          <w:szCs w:val="20"/>
        </w:rPr>
        <w:t xml:space="preserve"> both exploration targets </w:t>
      </w:r>
      <w:r w:rsidR="0084626C">
        <w:rPr>
          <w:rFonts w:eastAsiaTheme="minorEastAsia" w:cs="Arial"/>
          <w:color w:val="000000" w:themeColor="text1"/>
          <w:szCs w:val="20"/>
        </w:rPr>
        <w:t xml:space="preserve">are </w:t>
      </w:r>
      <w:r w:rsidR="6C6BF2D5" w:rsidRPr="00DD0DD1">
        <w:rPr>
          <w:rFonts w:eastAsiaTheme="minorEastAsia" w:cs="Arial"/>
          <w:color w:val="000000" w:themeColor="text1"/>
          <w:szCs w:val="20"/>
        </w:rPr>
        <w:t xml:space="preserve">located within Shayban EL, Block 7 14433119 and Block 6 14433118 respectively. The area is approximately 150km southwest of </w:t>
      </w:r>
      <w:r w:rsidR="658F8DFE" w:rsidRPr="00DD0DD1">
        <w:rPr>
          <w:rFonts w:eastAsiaTheme="minorEastAsia" w:cs="Arial"/>
          <w:color w:val="000000" w:themeColor="text1"/>
          <w:szCs w:val="20"/>
        </w:rPr>
        <w:t>Maaden’s</w:t>
      </w:r>
      <w:r w:rsidR="6C6BF2D5" w:rsidRPr="00DD0DD1">
        <w:rPr>
          <w:rFonts w:eastAsiaTheme="minorEastAsia" w:cs="Arial"/>
          <w:color w:val="000000" w:themeColor="text1"/>
          <w:szCs w:val="20"/>
        </w:rPr>
        <w:t xml:space="preserve"> Mahd Ahd Dahab mine and 150 km northeast of Jeddah city, 200 km south of Madinah city all accessible by road.  </w:t>
      </w:r>
    </w:p>
    <w:p w14:paraId="7DECA7D9" w14:textId="2B6B905D" w:rsidR="0084626C" w:rsidRPr="00DD0DD1" w:rsidRDefault="0084626C" w:rsidP="0084626C">
      <w:pPr>
        <w:jc w:val="both"/>
        <w:rPr>
          <w:rFonts w:eastAsiaTheme="minorEastAsia" w:cs="Arial"/>
          <w:color w:val="000000" w:themeColor="text1"/>
          <w:szCs w:val="20"/>
        </w:rPr>
      </w:pPr>
      <w:r w:rsidRPr="00DD0DD1">
        <w:rPr>
          <w:rFonts w:eastAsiaTheme="minorEastAsia" w:cs="Arial"/>
          <w:color w:val="000000" w:themeColor="text1"/>
          <w:szCs w:val="20"/>
        </w:rPr>
        <w:t xml:space="preserve">Ma’aden </w:t>
      </w:r>
      <w:r w:rsidR="00DE2948">
        <w:rPr>
          <w:rFonts w:eastAsiaTheme="minorEastAsia" w:cs="Arial"/>
          <w:color w:val="000000" w:themeColor="text1"/>
          <w:szCs w:val="20"/>
        </w:rPr>
        <w:t>have</w:t>
      </w:r>
      <w:r w:rsidRPr="00DD0DD1">
        <w:rPr>
          <w:rFonts w:eastAsiaTheme="minorEastAsia" w:cs="Arial"/>
          <w:color w:val="000000" w:themeColor="text1"/>
          <w:szCs w:val="20"/>
        </w:rPr>
        <w:t xml:space="preserve"> identified</w:t>
      </w:r>
      <w:r>
        <w:rPr>
          <w:rFonts w:eastAsiaTheme="minorEastAsia" w:cs="Arial"/>
          <w:color w:val="000000" w:themeColor="text1"/>
          <w:szCs w:val="20"/>
        </w:rPr>
        <w:t xml:space="preserve"> </w:t>
      </w:r>
      <w:r w:rsidRPr="00DD0DD1">
        <w:rPr>
          <w:rFonts w:eastAsiaTheme="minorEastAsia" w:cs="Arial"/>
          <w:color w:val="000000" w:themeColor="text1"/>
          <w:szCs w:val="20"/>
        </w:rPr>
        <w:t xml:space="preserve">gold intercepts </w:t>
      </w:r>
      <w:r>
        <w:rPr>
          <w:rFonts w:eastAsiaTheme="minorEastAsia" w:cs="Arial"/>
          <w:color w:val="000000" w:themeColor="text1"/>
          <w:szCs w:val="20"/>
        </w:rPr>
        <w:t>at</w:t>
      </w:r>
      <w:r w:rsidRPr="00DD0DD1">
        <w:rPr>
          <w:rFonts w:eastAsiaTheme="minorEastAsia" w:cs="Arial"/>
          <w:color w:val="000000" w:themeColor="text1"/>
          <w:szCs w:val="20"/>
        </w:rPr>
        <w:t xml:space="preserve"> Wadi Al Jaww</w:t>
      </w:r>
      <w:r w:rsidR="00DE2948">
        <w:rPr>
          <w:rFonts w:eastAsiaTheme="minorEastAsia" w:cs="Arial"/>
          <w:color w:val="000000" w:themeColor="text1"/>
          <w:szCs w:val="20"/>
        </w:rPr>
        <w:t xml:space="preserve"> </w:t>
      </w:r>
      <w:r>
        <w:rPr>
          <w:rFonts w:eastAsiaTheme="minorEastAsia" w:cs="Arial"/>
          <w:color w:val="000000" w:themeColor="text1"/>
          <w:szCs w:val="20"/>
        </w:rPr>
        <w:t xml:space="preserve">and </w:t>
      </w:r>
      <w:r w:rsidRPr="00DD0DD1">
        <w:rPr>
          <w:rFonts w:eastAsiaTheme="minorEastAsia" w:cs="Arial"/>
          <w:color w:val="000000" w:themeColor="text1"/>
          <w:szCs w:val="20"/>
        </w:rPr>
        <w:t xml:space="preserve">gold </w:t>
      </w:r>
      <w:r>
        <w:rPr>
          <w:rFonts w:eastAsiaTheme="minorEastAsia" w:cs="Arial"/>
          <w:color w:val="000000" w:themeColor="text1"/>
          <w:szCs w:val="20"/>
        </w:rPr>
        <w:t xml:space="preserve">and copper </w:t>
      </w:r>
      <w:r w:rsidRPr="00DD0DD1">
        <w:rPr>
          <w:rFonts w:eastAsiaTheme="minorEastAsia" w:cs="Arial"/>
          <w:color w:val="000000" w:themeColor="text1"/>
          <w:szCs w:val="20"/>
        </w:rPr>
        <w:t>intercepts</w:t>
      </w:r>
      <w:r>
        <w:rPr>
          <w:rFonts w:eastAsiaTheme="minorEastAsia" w:cs="Arial"/>
          <w:color w:val="000000" w:themeColor="text1"/>
          <w:szCs w:val="20"/>
        </w:rPr>
        <w:t xml:space="preserve"> at </w:t>
      </w:r>
      <w:r w:rsidRPr="00DD0DD1">
        <w:rPr>
          <w:rFonts w:eastAsiaTheme="minorEastAsia" w:cs="Arial"/>
          <w:color w:val="000000" w:themeColor="text1"/>
          <w:szCs w:val="20"/>
        </w:rPr>
        <w:t>Jabal Shayban</w:t>
      </w:r>
      <w:r>
        <w:rPr>
          <w:rFonts w:eastAsiaTheme="minorEastAsia" w:cs="Arial"/>
          <w:szCs w:val="20"/>
        </w:rPr>
        <w:t>.</w:t>
      </w:r>
      <w:r w:rsidRPr="00DD0DD1">
        <w:rPr>
          <w:rFonts w:eastAsiaTheme="minorEastAsia" w:cs="Arial"/>
          <w:color w:val="000000" w:themeColor="text1"/>
          <w:szCs w:val="20"/>
        </w:rPr>
        <w:t xml:space="preserve"> </w:t>
      </w:r>
      <w:r w:rsidRPr="00DD0DD1">
        <w:rPr>
          <w:rFonts w:eastAsiaTheme="minorEastAsia" w:cs="Arial"/>
          <w:szCs w:val="20"/>
        </w:rPr>
        <w:t>Assay results to date indicate relatively wide intersections of gold</w:t>
      </w:r>
      <w:r>
        <w:rPr>
          <w:rFonts w:eastAsiaTheme="minorEastAsia" w:cs="Arial"/>
          <w:szCs w:val="20"/>
        </w:rPr>
        <w:t>, and copper-gold</w:t>
      </w:r>
      <w:r w:rsidRPr="00DD0DD1">
        <w:rPr>
          <w:rFonts w:eastAsiaTheme="minorEastAsia" w:cs="Arial"/>
          <w:szCs w:val="20"/>
        </w:rPr>
        <w:t xml:space="preserve"> mineralisation at relatively shallow depth ranges from 20 to 200m. The mineralisation remains open at depth and to the east, west, north and south. </w:t>
      </w:r>
    </w:p>
    <w:p w14:paraId="4E598660" w14:textId="6A8A915E" w:rsidR="00734F82" w:rsidRPr="00DD0DD1" w:rsidRDefault="5FDAE126" w:rsidP="00DD0DD1">
      <w:pPr>
        <w:jc w:val="both"/>
        <w:rPr>
          <w:rFonts w:eastAsiaTheme="minorEastAsia" w:cs="Arial"/>
          <w:color w:val="000000" w:themeColor="text1"/>
          <w:szCs w:val="20"/>
        </w:rPr>
      </w:pPr>
      <w:r w:rsidRPr="00DD0DD1">
        <w:rPr>
          <w:rFonts w:eastAsiaTheme="minorEastAsia" w:cs="Arial"/>
          <w:color w:val="000000" w:themeColor="text1"/>
          <w:szCs w:val="20"/>
        </w:rPr>
        <w:t xml:space="preserve">No historical work </w:t>
      </w:r>
      <w:r w:rsidR="0084626C">
        <w:rPr>
          <w:rFonts w:eastAsiaTheme="minorEastAsia" w:cs="Arial"/>
          <w:color w:val="000000" w:themeColor="text1"/>
          <w:szCs w:val="20"/>
        </w:rPr>
        <w:t xml:space="preserve">has been </w:t>
      </w:r>
      <w:r w:rsidRPr="00DD0DD1">
        <w:rPr>
          <w:rFonts w:eastAsiaTheme="minorEastAsia" w:cs="Arial"/>
          <w:color w:val="000000" w:themeColor="text1"/>
          <w:szCs w:val="20"/>
        </w:rPr>
        <w:t xml:space="preserve">reported </w:t>
      </w:r>
      <w:r w:rsidR="0084626C">
        <w:rPr>
          <w:rFonts w:eastAsiaTheme="minorEastAsia" w:cs="Arial"/>
          <w:color w:val="000000" w:themeColor="text1"/>
          <w:szCs w:val="20"/>
        </w:rPr>
        <w:t>at</w:t>
      </w:r>
      <w:r w:rsidR="0084626C" w:rsidRPr="00DD0DD1">
        <w:rPr>
          <w:rFonts w:eastAsiaTheme="minorEastAsia" w:cs="Arial"/>
          <w:color w:val="000000" w:themeColor="text1"/>
          <w:szCs w:val="20"/>
        </w:rPr>
        <w:t xml:space="preserve"> </w:t>
      </w:r>
      <w:r w:rsidR="7554D31A" w:rsidRPr="00DD0DD1">
        <w:rPr>
          <w:rFonts w:eastAsiaTheme="minorEastAsia" w:cs="Arial"/>
          <w:color w:val="000000" w:themeColor="text1"/>
          <w:szCs w:val="20"/>
        </w:rPr>
        <w:t>Wadi Al Jaww</w:t>
      </w:r>
      <w:r w:rsidR="399C2AAE" w:rsidRPr="00DD0DD1">
        <w:rPr>
          <w:rFonts w:eastAsiaTheme="minorEastAsia" w:cs="Arial"/>
          <w:color w:val="000000" w:themeColor="text1"/>
          <w:szCs w:val="20"/>
        </w:rPr>
        <w:t xml:space="preserve">, </w:t>
      </w:r>
      <w:r w:rsidR="0084626C">
        <w:rPr>
          <w:rFonts w:eastAsiaTheme="minorEastAsia" w:cs="Arial"/>
          <w:color w:val="000000" w:themeColor="text1"/>
          <w:szCs w:val="20"/>
        </w:rPr>
        <w:t xml:space="preserve">it has been </w:t>
      </w:r>
      <w:r w:rsidR="7554D31A" w:rsidRPr="00DD0DD1">
        <w:rPr>
          <w:rFonts w:eastAsiaTheme="minorEastAsia" w:cs="Arial"/>
          <w:color w:val="000000" w:themeColor="text1"/>
          <w:szCs w:val="20"/>
        </w:rPr>
        <w:t xml:space="preserve">discovered by Maaden </w:t>
      </w:r>
      <w:r w:rsidR="6A5AC0B8" w:rsidRPr="00DD0DD1">
        <w:rPr>
          <w:rFonts w:eastAsiaTheme="minorEastAsia" w:cs="Arial"/>
          <w:color w:val="000000" w:themeColor="text1"/>
          <w:szCs w:val="20"/>
        </w:rPr>
        <w:t>with an effort of collective</w:t>
      </w:r>
      <w:r w:rsidR="338B6DBA" w:rsidRPr="00DD0DD1">
        <w:rPr>
          <w:rFonts w:eastAsiaTheme="minorEastAsia" w:cs="Arial"/>
          <w:color w:val="000000" w:themeColor="text1"/>
          <w:szCs w:val="20"/>
        </w:rPr>
        <w:t xml:space="preserve"> </w:t>
      </w:r>
      <w:r w:rsidR="6A5AC0B8" w:rsidRPr="00DD0DD1">
        <w:rPr>
          <w:rFonts w:eastAsiaTheme="minorEastAsia" w:cs="Arial"/>
          <w:color w:val="000000" w:themeColor="text1"/>
          <w:szCs w:val="20"/>
        </w:rPr>
        <w:t xml:space="preserve">assessment of the Arabian Shield with several target generation approaches and conceptual, theoretical ideas. </w:t>
      </w:r>
      <w:r w:rsidR="5DE9B26F" w:rsidRPr="00DD0DD1">
        <w:rPr>
          <w:rFonts w:eastAsiaTheme="minorEastAsia" w:cs="Arial"/>
          <w:color w:val="000000" w:themeColor="text1"/>
          <w:szCs w:val="20"/>
        </w:rPr>
        <w:t xml:space="preserve">Jabal Shayban </w:t>
      </w:r>
      <w:r w:rsidR="14EBF57D" w:rsidRPr="00DD0DD1">
        <w:rPr>
          <w:rFonts w:eastAsiaTheme="minorEastAsia" w:cs="Arial"/>
          <w:color w:val="000000" w:themeColor="text1"/>
          <w:szCs w:val="20"/>
        </w:rPr>
        <w:t>project</w:t>
      </w:r>
      <w:r w:rsidR="09D7823F" w:rsidRPr="00DD0DD1">
        <w:rPr>
          <w:rFonts w:eastAsiaTheme="minorEastAsia" w:cs="Arial"/>
          <w:color w:val="000000" w:themeColor="text1"/>
          <w:szCs w:val="20"/>
        </w:rPr>
        <w:t xml:space="preserve"> </w:t>
      </w:r>
      <w:r w:rsidR="69EE0A48" w:rsidRPr="00DD0DD1">
        <w:rPr>
          <w:rFonts w:eastAsiaTheme="minorEastAsia" w:cs="Arial"/>
          <w:color w:val="000000" w:themeColor="text1"/>
          <w:szCs w:val="20"/>
        </w:rPr>
        <w:t xml:space="preserve">has a long exploration history with initial exploratory drilling completed by DMMR from the year 1940, and 1980’s with some regional studies and did assessment of different targets in the region. Detailed exploration was done in 1992 –1994 (BRGM and DMMR; BRGM-TR-15-3) by 36 DD holes bringing total drilled to 5,174.45 meters. </w:t>
      </w:r>
    </w:p>
    <w:p w14:paraId="74B0158F" w14:textId="60F7A00F" w:rsidR="00734F82" w:rsidRPr="000D20C2" w:rsidRDefault="16CDDB75" w:rsidP="00DD0DD1">
      <w:pPr>
        <w:pStyle w:val="Heading1"/>
        <w:jc w:val="both"/>
        <w:rPr>
          <w:rFonts w:ascii="Arial" w:eastAsiaTheme="minorEastAsia" w:hAnsi="Arial" w:cs="Arial"/>
          <w:b/>
          <w:bCs/>
          <w:color w:val="000000" w:themeColor="text1"/>
          <w:sz w:val="20"/>
          <w:szCs w:val="20"/>
        </w:rPr>
      </w:pPr>
      <w:r w:rsidRPr="000D20C2">
        <w:rPr>
          <w:rFonts w:ascii="Arial" w:eastAsiaTheme="minorEastAsia" w:hAnsi="Arial" w:cs="Arial"/>
          <w:b/>
          <w:bCs/>
          <w:color w:val="000000" w:themeColor="text1"/>
          <w:sz w:val="20"/>
          <w:szCs w:val="20"/>
        </w:rPr>
        <w:t>Geology and Mineralization</w:t>
      </w:r>
    </w:p>
    <w:p w14:paraId="746691C9" w14:textId="0338E553" w:rsidR="00734F82" w:rsidRPr="00DD0DD1" w:rsidRDefault="580C9F0A" w:rsidP="00DD0DD1">
      <w:pPr>
        <w:jc w:val="both"/>
        <w:rPr>
          <w:rFonts w:eastAsia="Aptos" w:cs="Arial"/>
          <w:color w:val="000000" w:themeColor="text1"/>
          <w:szCs w:val="20"/>
        </w:rPr>
      </w:pPr>
      <w:r w:rsidRPr="00DD0DD1">
        <w:rPr>
          <w:rFonts w:eastAsia="Aptos" w:cs="Arial"/>
          <w:color w:val="000000" w:themeColor="text1"/>
          <w:szCs w:val="20"/>
        </w:rPr>
        <w:t xml:space="preserve">The </w:t>
      </w:r>
      <w:r w:rsidR="0084626C">
        <w:rPr>
          <w:rFonts w:eastAsia="Aptos" w:cs="Arial"/>
          <w:color w:val="000000" w:themeColor="text1"/>
          <w:szCs w:val="20"/>
        </w:rPr>
        <w:t xml:space="preserve">exploration </w:t>
      </w:r>
      <w:r w:rsidRPr="00DD0DD1">
        <w:rPr>
          <w:rFonts w:eastAsia="Aptos" w:cs="Arial"/>
          <w:color w:val="000000" w:themeColor="text1"/>
          <w:szCs w:val="20"/>
        </w:rPr>
        <w:t>area is located on the crustal scale suture zone (NE-SW trending ophiolite decorated Nakasib-Bir Umq Suture) between the Hijaz and Jeddah terranes and underlain by metamorphosed volcanic, volcanoclastic</w:t>
      </w:r>
      <w:r w:rsidR="00DE2948">
        <w:rPr>
          <w:rFonts w:eastAsia="Aptos" w:cs="Arial"/>
          <w:color w:val="000000" w:themeColor="text1"/>
          <w:szCs w:val="20"/>
        </w:rPr>
        <w:t xml:space="preserve"> </w:t>
      </w:r>
      <w:r w:rsidRPr="00DD0DD1">
        <w:rPr>
          <w:rFonts w:eastAsia="Aptos" w:cs="Arial"/>
          <w:color w:val="000000" w:themeColor="text1"/>
          <w:szCs w:val="20"/>
        </w:rPr>
        <w:t>and volcano-sedimentary rocks assigned to the Samran and Rabiagh group of Late Proterozoic age</w:t>
      </w:r>
      <w:r w:rsidR="00DE2948">
        <w:rPr>
          <w:rFonts w:eastAsia="Aptos" w:cs="Arial"/>
          <w:color w:val="000000" w:themeColor="text1"/>
          <w:szCs w:val="20"/>
        </w:rPr>
        <w:t xml:space="preserve"> </w:t>
      </w:r>
      <w:r w:rsidRPr="00DD0DD1">
        <w:rPr>
          <w:rFonts w:eastAsia="Aptos" w:cs="Arial"/>
          <w:color w:val="000000" w:themeColor="text1"/>
          <w:szCs w:val="20"/>
        </w:rPr>
        <w:t>which have been intruded by mainly post-tectonic plutons of varying composition, volcanic rocks ranging in composition from basalts to rhyolite</w:t>
      </w:r>
      <w:r w:rsidR="00942064">
        <w:rPr>
          <w:rFonts w:eastAsia="Aptos" w:cs="Arial"/>
          <w:color w:val="000000" w:themeColor="text1"/>
          <w:szCs w:val="20"/>
        </w:rPr>
        <w:t xml:space="preserve"> (</w:t>
      </w:r>
      <w:r w:rsidRPr="00DD0DD1">
        <w:rPr>
          <w:rFonts w:eastAsia="Aptos" w:cs="Arial"/>
          <w:color w:val="000000" w:themeColor="text1"/>
          <w:szCs w:val="20"/>
        </w:rPr>
        <w:t>although andesitic and dacitic varieties predominant</w:t>
      </w:r>
      <w:r w:rsidR="00942064">
        <w:rPr>
          <w:rFonts w:eastAsia="Aptos" w:cs="Arial"/>
          <w:color w:val="000000" w:themeColor="text1"/>
          <w:szCs w:val="20"/>
        </w:rPr>
        <w:t>).</w:t>
      </w:r>
      <w:r w:rsidRPr="00DD0DD1">
        <w:rPr>
          <w:rFonts w:eastAsia="Aptos" w:cs="Arial"/>
          <w:color w:val="000000" w:themeColor="text1"/>
          <w:szCs w:val="20"/>
        </w:rPr>
        <w:t xml:space="preserve"> The mode of occurrence ranges from subaerial to subaqueous lava flows, domes, and hyaloclastites and from conglomerate to fine-grained, distal water laid tiffs. </w:t>
      </w:r>
    </w:p>
    <w:p w14:paraId="798944A6" w14:textId="7D65B521" w:rsidR="00734F82" w:rsidRPr="00DD0DD1" w:rsidRDefault="580C9F0A" w:rsidP="00DD0DD1">
      <w:pPr>
        <w:jc w:val="both"/>
        <w:rPr>
          <w:rFonts w:eastAsia="Aptos" w:cs="Arial"/>
          <w:color w:val="000000" w:themeColor="text1"/>
          <w:szCs w:val="20"/>
        </w:rPr>
      </w:pPr>
      <w:r w:rsidRPr="00DD0DD1">
        <w:rPr>
          <w:rFonts w:eastAsia="Aptos" w:cs="Arial"/>
          <w:color w:val="000000" w:themeColor="text1"/>
          <w:szCs w:val="20"/>
        </w:rPr>
        <w:t>Jabal Shayban mineralization is related to the Shayban lower member of volcanic breccia and rhyolitic tuff (quartz crystals &gt;5mm), massive to semi-massive sulfides hosted by volcanic breccia. The gold-zinc-copper sulfides mineralization is principally associated with volcanic breccia, the c</w:t>
      </w:r>
      <w:r w:rsidRPr="00DD0DD1">
        <w:rPr>
          <w:rFonts w:eastAsiaTheme="minorEastAsia" w:cs="Arial"/>
          <w:color w:val="000000" w:themeColor="text1"/>
          <w:szCs w:val="20"/>
        </w:rPr>
        <w:t xml:space="preserve">lasts of country rock are generally silicified and intensely altered by chlorite. </w:t>
      </w:r>
    </w:p>
    <w:p w14:paraId="2AB4A4F8" w14:textId="38C24BB6" w:rsidR="00734F82" w:rsidRPr="00DD0DD1" w:rsidRDefault="2F1CAF80" w:rsidP="00DD0DD1">
      <w:pPr>
        <w:jc w:val="both"/>
        <w:rPr>
          <w:rFonts w:eastAsia="Aptos" w:cs="Arial"/>
          <w:color w:val="000000" w:themeColor="text1"/>
          <w:szCs w:val="20"/>
        </w:rPr>
      </w:pPr>
      <w:r w:rsidRPr="00DD0DD1">
        <w:rPr>
          <w:rFonts w:eastAsia="Aptos" w:cs="Arial"/>
          <w:color w:val="000000" w:themeColor="text1"/>
          <w:szCs w:val="20"/>
        </w:rPr>
        <w:t xml:space="preserve">Wadi Al Jaww is </w:t>
      </w:r>
      <w:r w:rsidR="3DAD9974" w:rsidRPr="00DD0DD1">
        <w:rPr>
          <w:rFonts w:eastAsia="Aptos" w:cs="Arial"/>
          <w:color w:val="000000" w:themeColor="text1"/>
          <w:szCs w:val="20"/>
        </w:rPr>
        <w:t xml:space="preserve">hosted </w:t>
      </w:r>
      <w:r w:rsidRPr="00DD0DD1">
        <w:rPr>
          <w:rFonts w:eastAsia="Aptos" w:cs="Arial"/>
          <w:color w:val="000000" w:themeColor="text1"/>
          <w:szCs w:val="20"/>
        </w:rPr>
        <w:t xml:space="preserve">by intrusions of the Al Kamil Suite </w:t>
      </w:r>
      <w:r w:rsidR="451FCFAD" w:rsidRPr="00DD0DD1">
        <w:rPr>
          <w:rFonts w:eastAsia="Aptos" w:cs="Arial"/>
          <w:color w:val="000000" w:themeColor="text1"/>
          <w:szCs w:val="20"/>
        </w:rPr>
        <w:t>ranging in composition from granodiorite, diorite to tonalite. Mineralization represents v</w:t>
      </w:r>
      <w:r w:rsidRPr="00DD0DD1">
        <w:rPr>
          <w:rFonts w:eastAsia="Aptos" w:cs="Arial"/>
          <w:color w:val="000000" w:themeColor="text1"/>
          <w:szCs w:val="20"/>
        </w:rPr>
        <w:t xml:space="preserve">arious alteration assemblages (propylitic, potassic, weak sericite-chlorite, silica, and carbonate alterations) </w:t>
      </w:r>
      <w:r w:rsidR="53A105E4" w:rsidRPr="00DD0DD1">
        <w:rPr>
          <w:rFonts w:eastAsia="Aptos" w:cs="Arial"/>
          <w:color w:val="000000" w:themeColor="text1"/>
          <w:szCs w:val="20"/>
        </w:rPr>
        <w:t>and characterized by sheeted</w:t>
      </w:r>
      <w:r w:rsidRPr="00DD0DD1">
        <w:rPr>
          <w:rFonts w:eastAsia="Aptos" w:cs="Arial"/>
          <w:color w:val="000000" w:themeColor="text1"/>
          <w:szCs w:val="20"/>
        </w:rPr>
        <w:t xml:space="preserve"> chalcopyrite ± quartz veins form discrete domains separated by areas of fewer veins. </w:t>
      </w:r>
    </w:p>
    <w:p w14:paraId="52E40E82" w14:textId="2A46EA74" w:rsidR="00734F82" w:rsidRPr="000D20C2" w:rsidRDefault="00734F82" w:rsidP="00DD0DD1">
      <w:pPr>
        <w:pStyle w:val="Heading1"/>
        <w:jc w:val="both"/>
        <w:rPr>
          <w:rFonts w:ascii="Arial" w:eastAsiaTheme="minorEastAsia" w:hAnsi="Arial" w:cs="Arial"/>
          <w:b/>
          <w:bCs/>
          <w:color w:val="000000" w:themeColor="text1"/>
          <w:sz w:val="20"/>
          <w:szCs w:val="20"/>
        </w:rPr>
      </w:pPr>
      <w:r w:rsidRPr="000D20C2">
        <w:rPr>
          <w:rFonts w:ascii="Arial" w:eastAsiaTheme="minorEastAsia" w:hAnsi="Arial" w:cs="Arial"/>
          <w:b/>
          <w:bCs/>
          <w:color w:val="000000" w:themeColor="text1"/>
          <w:sz w:val="20"/>
          <w:szCs w:val="20"/>
        </w:rPr>
        <w:t>Further Details</w:t>
      </w:r>
      <w:r w:rsidR="00960C05" w:rsidRPr="000D20C2">
        <w:rPr>
          <w:rFonts w:ascii="Arial" w:eastAsiaTheme="minorEastAsia" w:hAnsi="Arial" w:cs="Arial"/>
          <w:b/>
          <w:bCs/>
          <w:color w:val="000000" w:themeColor="text1"/>
          <w:sz w:val="20"/>
          <w:szCs w:val="20"/>
        </w:rPr>
        <w:t>:</w:t>
      </w:r>
    </w:p>
    <w:p w14:paraId="2AC25AF7" w14:textId="6547BA4C" w:rsidR="00734F82" w:rsidRPr="00DD0DD1" w:rsidRDefault="00734F82" w:rsidP="00DD0DD1">
      <w:pPr>
        <w:jc w:val="both"/>
        <w:rPr>
          <w:rFonts w:eastAsiaTheme="minorEastAsia" w:cs="Arial"/>
          <w:color w:val="000000" w:themeColor="text1"/>
          <w:szCs w:val="20"/>
        </w:rPr>
      </w:pPr>
      <w:r w:rsidRPr="00DD0DD1">
        <w:rPr>
          <w:rFonts w:eastAsiaTheme="minorEastAsia" w:cs="Arial"/>
          <w:color w:val="000000" w:themeColor="text1"/>
          <w:szCs w:val="20"/>
        </w:rPr>
        <w:t xml:space="preserve">Wadi Al Jaww results demonstrated </w:t>
      </w:r>
      <w:r w:rsidRPr="00DD0DD1">
        <w:rPr>
          <w:rFonts w:eastAsiaTheme="minorEastAsia" w:cs="Arial"/>
          <w:szCs w:val="20"/>
        </w:rPr>
        <w:t>significant</w:t>
      </w:r>
      <w:r w:rsidRPr="00DD0DD1">
        <w:rPr>
          <w:rFonts w:eastAsiaTheme="minorEastAsia" w:cs="Arial"/>
          <w:color w:val="000000" w:themeColor="text1"/>
          <w:szCs w:val="20"/>
        </w:rPr>
        <w:t xml:space="preserve"> gold mineralisation from surface and </w:t>
      </w:r>
      <w:r w:rsidRPr="00DD0DD1">
        <w:rPr>
          <w:rFonts w:eastAsiaTheme="minorEastAsia" w:cs="Arial"/>
          <w:szCs w:val="20"/>
        </w:rPr>
        <w:t>extended</w:t>
      </w:r>
      <w:r w:rsidRPr="00DD0DD1">
        <w:rPr>
          <w:rFonts w:eastAsiaTheme="minorEastAsia" w:cs="Arial"/>
          <w:color w:val="000000" w:themeColor="text1"/>
          <w:szCs w:val="20"/>
        </w:rPr>
        <w:t xml:space="preserve"> </w:t>
      </w:r>
      <w:r w:rsidR="00942064">
        <w:rPr>
          <w:rFonts w:eastAsiaTheme="minorEastAsia" w:cs="Arial"/>
          <w:color w:val="000000" w:themeColor="text1"/>
          <w:szCs w:val="20"/>
        </w:rPr>
        <w:t>down</w:t>
      </w:r>
      <w:r w:rsidRPr="00DD0DD1">
        <w:rPr>
          <w:rFonts w:eastAsiaTheme="minorEastAsia" w:cs="Arial"/>
          <w:color w:val="000000" w:themeColor="text1"/>
          <w:szCs w:val="20"/>
        </w:rPr>
        <w:t xml:space="preserve"> to 200m at depth</w:t>
      </w:r>
      <w:r w:rsidR="00942064">
        <w:rPr>
          <w:rFonts w:eastAsiaTheme="minorEastAsia" w:cs="Arial"/>
          <w:color w:val="000000" w:themeColor="text1"/>
          <w:szCs w:val="20"/>
        </w:rPr>
        <w:t xml:space="preserve"> </w:t>
      </w:r>
      <w:r w:rsidRPr="00DD0DD1">
        <w:rPr>
          <w:rFonts w:eastAsiaTheme="minorEastAsia" w:cs="Arial"/>
          <w:color w:val="000000" w:themeColor="text1"/>
          <w:szCs w:val="20"/>
        </w:rPr>
        <w:t>which is</w:t>
      </w:r>
      <w:r w:rsidR="00942064">
        <w:rPr>
          <w:rFonts w:eastAsiaTheme="minorEastAsia" w:cs="Arial"/>
          <w:color w:val="000000" w:themeColor="text1"/>
          <w:szCs w:val="20"/>
        </w:rPr>
        <w:t xml:space="preserve"> a</w:t>
      </w:r>
      <w:r w:rsidRPr="00DD0DD1">
        <w:rPr>
          <w:rFonts w:eastAsiaTheme="minorEastAsia" w:cs="Arial"/>
          <w:color w:val="000000" w:themeColor="text1"/>
          <w:szCs w:val="20"/>
        </w:rPr>
        <w:t xml:space="preserve"> follow-up on </w:t>
      </w:r>
      <w:r w:rsidR="00942064">
        <w:rPr>
          <w:rFonts w:eastAsiaTheme="minorEastAsia" w:cs="Arial"/>
          <w:color w:val="000000" w:themeColor="text1"/>
          <w:szCs w:val="20"/>
        </w:rPr>
        <w:t xml:space="preserve">a </w:t>
      </w:r>
      <w:r w:rsidRPr="00DD0DD1">
        <w:rPr>
          <w:rFonts w:eastAsiaTheme="minorEastAsia" w:cs="Arial"/>
          <w:color w:val="000000" w:themeColor="text1"/>
          <w:szCs w:val="20"/>
        </w:rPr>
        <w:t xml:space="preserve">series of exploration activities including stream sediment, channel sampling and geological mapping. </w:t>
      </w:r>
    </w:p>
    <w:p w14:paraId="7D288992" w14:textId="01D7A80C" w:rsidR="00734F82" w:rsidRPr="00DD0DD1" w:rsidRDefault="00A108DE" w:rsidP="00DD0DD1">
      <w:pPr>
        <w:jc w:val="both"/>
        <w:rPr>
          <w:rFonts w:eastAsiaTheme="minorEastAsia" w:cs="Arial"/>
          <w:szCs w:val="20"/>
        </w:rPr>
      </w:pPr>
      <w:r>
        <w:rPr>
          <w:rFonts w:eastAsiaTheme="minorEastAsia" w:cs="Arial"/>
          <w:color w:val="000000" w:themeColor="text1"/>
          <w:szCs w:val="20"/>
        </w:rPr>
        <w:t>The s</w:t>
      </w:r>
      <w:r w:rsidRPr="00DD0DD1">
        <w:rPr>
          <w:rFonts w:eastAsiaTheme="minorEastAsia" w:cs="Arial"/>
          <w:color w:val="000000" w:themeColor="text1"/>
          <w:szCs w:val="20"/>
        </w:rPr>
        <w:t xml:space="preserve">ignificant </w:t>
      </w:r>
      <w:r w:rsidR="00734F82" w:rsidRPr="00DD0DD1">
        <w:rPr>
          <w:rFonts w:eastAsiaTheme="minorEastAsia" w:cs="Arial"/>
          <w:color w:val="000000" w:themeColor="text1"/>
          <w:szCs w:val="20"/>
        </w:rPr>
        <w:t xml:space="preserve">gold mineralisation intersected represents only a portion of the full Phase 1 drill program, which is expected to test the 4km strike length of the discovery area. These results triggered an immediate expansion of </w:t>
      </w:r>
      <w:r w:rsidR="00734F82" w:rsidRPr="00DD0DD1">
        <w:rPr>
          <w:rFonts w:eastAsiaTheme="minorEastAsia" w:cs="Arial"/>
          <w:szCs w:val="20"/>
        </w:rPr>
        <w:t xml:space="preserve">drilling activities </w:t>
      </w:r>
      <w:r>
        <w:rPr>
          <w:rFonts w:eastAsiaTheme="minorEastAsia" w:cs="Arial"/>
          <w:szCs w:val="20"/>
        </w:rPr>
        <w:t>for</w:t>
      </w:r>
      <w:r w:rsidRPr="00DD0DD1">
        <w:rPr>
          <w:rFonts w:eastAsiaTheme="minorEastAsia" w:cs="Arial"/>
          <w:color w:val="000000" w:themeColor="text1"/>
          <w:szCs w:val="20"/>
        </w:rPr>
        <w:t xml:space="preserve"> </w:t>
      </w:r>
      <w:r w:rsidR="00734F82" w:rsidRPr="00DD0DD1">
        <w:rPr>
          <w:rFonts w:eastAsiaTheme="minorEastAsia" w:cs="Arial"/>
          <w:color w:val="000000" w:themeColor="text1"/>
          <w:szCs w:val="20"/>
        </w:rPr>
        <w:t>the remainder of 2024 into 2025 at the exploration site</w:t>
      </w:r>
      <w:r w:rsidR="38451D2A" w:rsidRPr="00DD0DD1">
        <w:rPr>
          <w:rFonts w:eastAsiaTheme="minorEastAsia" w:cs="Arial"/>
          <w:color w:val="000000" w:themeColor="text1"/>
          <w:szCs w:val="20"/>
        </w:rPr>
        <w:t>.</w:t>
      </w:r>
    </w:p>
    <w:p w14:paraId="1732B00F" w14:textId="77777777" w:rsidR="00734F82" w:rsidRPr="00DD0DD1" w:rsidRDefault="00734F82" w:rsidP="00DD0DD1">
      <w:pPr>
        <w:jc w:val="both"/>
        <w:rPr>
          <w:rFonts w:eastAsiaTheme="minorEastAsia" w:cs="Arial"/>
          <w:szCs w:val="20"/>
        </w:rPr>
      </w:pPr>
      <w:r w:rsidRPr="00DD0DD1">
        <w:rPr>
          <w:rFonts w:eastAsiaTheme="minorEastAsia" w:cs="Arial"/>
          <w:szCs w:val="20"/>
        </w:rPr>
        <w:t xml:space="preserve">While results are encouraging, the exploration project is still at an early stage and drilling to date does not allow sufficient understanding of the mineralized body to assess the potential size or quality of the </w:t>
      </w:r>
      <w:r w:rsidRPr="00DD0DD1">
        <w:rPr>
          <w:rFonts w:eastAsiaTheme="minorEastAsia" w:cs="Arial"/>
          <w:szCs w:val="20"/>
        </w:rPr>
        <w:lastRenderedPageBreak/>
        <w:t>mineralisation nor to enable estimation of a Mineral Resource. The assessment and interpretation of existing data is ongoing and will be used to help guide the drilling through 2025.</w:t>
      </w:r>
    </w:p>
    <w:p w14:paraId="5E0D3F61" w14:textId="4F6F6A2F" w:rsidR="3C67C692" w:rsidRPr="00DD0DD1" w:rsidRDefault="3C67C692" w:rsidP="00A108DE">
      <w:pPr>
        <w:jc w:val="both"/>
        <w:rPr>
          <w:rFonts w:eastAsiaTheme="minorEastAsia" w:cs="Arial"/>
          <w:szCs w:val="20"/>
        </w:rPr>
      </w:pPr>
      <w:r w:rsidRPr="008227AA">
        <w:rPr>
          <w:rFonts w:eastAsiaTheme="minorEastAsia" w:cs="Arial"/>
          <w:szCs w:val="20"/>
        </w:rPr>
        <w:t xml:space="preserve">In Jabal Shayban property historic drilling has been focused on gossanous outcrops and surface geochemical anomalies shown in </w:t>
      </w:r>
      <w:r w:rsidRPr="003F598A">
        <w:rPr>
          <w:rFonts w:eastAsiaTheme="minorEastAsia" w:cs="Arial"/>
          <w:szCs w:val="20"/>
        </w:rPr>
        <w:t xml:space="preserve">Figure </w:t>
      </w:r>
      <w:r w:rsidR="00527AD8" w:rsidRPr="003F598A">
        <w:rPr>
          <w:rFonts w:eastAsiaTheme="minorEastAsia" w:cs="Arial"/>
          <w:szCs w:val="20"/>
        </w:rPr>
        <w:t>5</w:t>
      </w:r>
      <w:r w:rsidRPr="003F598A">
        <w:rPr>
          <w:rFonts w:eastAsiaTheme="minorEastAsia" w:cs="Arial"/>
          <w:szCs w:val="20"/>
        </w:rPr>
        <w:t>,</w:t>
      </w:r>
      <w:r w:rsidRPr="008227AA">
        <w:rPr>
          <w:rFonts w:eastAsiaTheme="minorEastAsia" w:cs="Arial"/>
          <w:szCs w:val="20"/>
        </w:rPr>
        <w:t xml:space="preserve"> with number of holes drilled with RC and diamond core drilling to test gossanous rocks yet to understand nature of </w:t>
      </w:r>
      <w:r w:rsidR="00A108DE" w:rsidRPr="008227AA">
        <w:rPr>
          <w:rFonts w:eastAsiaTheme="minorEastAsia" w:cs="Arial"/>
          <w:szCs w:val="20"/>
        </w:rPr>
        <w:t>volcanic-hosted massive sulfide (</w:t>
      </w:r>
      <w:r w:rsidRPr="008227AA">
        <w:rPr>
          <w:rFonts w:eastAsiaTheme="minorEastAsia" w:cs="Arial"/>
          <w:szCs w:val="20"/>
        </w:rPr>
        <w:t>VHMS</w:t>
      </w:r>
      <w:r w:rsidR="00A108DE" w:rsidRPr="008227AA">
        <w:rPr>
          <w:rFonts w:eastAsiaTheme="minorEastAsia" w:cs="Arial"/>
          <w:szCs w:val="20"/>
        </w:rPr>
        <w:t>)</w:t>
      </w:r>
      <w:r w:rsidRPr="008227AA">
        <w:rPr>
          <w:rFonts w:eastAsiaTheme="minorEastAsia" w:cs="Arial"/>
          <w:szCs w:val="20"/>
        </w:rPr>
        <w:t xml:space="preserve"> mineralization. Recent target identification work with large number of surface geochemistry, structural interpretations included re-interpretation of historic drill hole geology, modern VHMS understanding, volcano-stratigraphy and extensive IP/RES, gravity and ground magnetic survey completed in 2024. </w:t>
      </w:r>
      <w:r w:rsidR="00195985" w:rsidRPr="00195985">
        <w:rPr>
          <w:rFonts w:eastAsiaTheme="minorEastAsia" w:cs="Arial"/>
          <w:szCs w:val="20"/>
        </w:rPr>
        <w:t xml:space="preserve">The re-assessment was followed by initial program to further test the contacts of volcanic breccia and rhyolitic tuff. </w:t>
      </w:r>
      <w:r w:rsidRPr="008227AA">
        <w:rPr>
          <w:rFonts w:eastAsiaTheme="minorEastAsia" w:cs="Arial"/>
          <w:szCs w:val="20"/>
        </w:rPr>
        <w:t>The re-assessment was followed by three drill holes to further test the contacts of volcanic breccia and rhyolitic tuff (Figure 2).</w:t>
      </w:r>
      <w:r w:rsidRPr="00DD0DD1">
        <w:rPr>
          <w:rFonts w:eastAsiaTheme="minorEastAsia" w:cs="Arial"/>
          <w:szCs w:val="20"/>
        </w:rPr>
        <w:t xml:space="preserve">  </w:t>
      </w:r>
      <w:r w:rsidRPr="00DD0DD1">
        <w:rPr>
          <w:rFonts w:eastAsia="Aptos" w:cs="Arial"/>
          <w:color w:val="000000" w:themeColor="text1"/>
          <w:szCs w:val="20"/>
        </w:rPr>
        <w:t xml:space="preserve">Despite historical drilling results has significant Au and Cu intersections, with modern multi acid assay techniques with precise targeting methodologies Maaden achieved one of the </w:t>
      </w:r>
      <w:r w:rsidR="00943B82" w:rsidRPr="00DD0DD1">
        <w:rPr>
          <w:rFonts w:eastAsia="Aptos" w:cs="Arial"/>
          <w:color w:val="000000" w:themeColor="text1"/>
          <w:szCs w:val="20"/>
        </w:rPr>
        <w:t>largest</w:t>
      </w:r>
      <w:r w:rsidRPr="00DD0DD1">
        <w:rPr>
          <w:rFonts w:eastAsia="Aptos" w:cs="Arial"/>
          <w:color w:val="000000" w:themeColor="text1"/>
          <w:szCs w:val="20"/>
        </w:rPr>
        <w:t xml:space="preserve"> intersections of VHMS style mineralization in the Arabian Shield.</w:t>
      </w:r>
      <w:r w:rsidRPr="00DD0DD1">
        <w:rPr>
          <w:rFonts w:eastAsiaTheme="minorEastAsia" w:cs="Arial"/>
          <w:szCs w:val="20"/>
        </w:rPr>
        <w:t xml:space="preserve"> </w:t>
      </w:r>
    </w:p>
    <w:p w14:paraId="0E98F968" w14:textId="77777777" w:rsidR="00734F82" w:rsidRPr="000D20C2" w:rsidRDefault="00734F82" w:rsidP="00DD0DD1">
      <w:pPr>
        <w:pStyle w:val="Heading1"/>
        <w:jc w:val="both"/>
        <w:rPr>
          <w:rFonts w:ascii="Arial" w:eastAsiaTheme="minorEastAsia" w:hAnsi="Arial" w:cs="Arial"/>
          <w:b/>
          <w:bCs/>
          <w:color w:val="000000" w:themeColor="text1"/>
          <w:sz w:val="20"/>
          <w:szCs w:val="20"/>
        </w:rPr>
      </w:pPr>
      <w:r w:rsidRPr="000D20C2">
        <w:rPr>
          <w:rFonts w:ascii="Arial" w:eastAsiaTheme="minorEastAsia" w:hAnsi="Arial" w:cs="Arial"/>
          <w:b/>
          <w:bCs/>
          <w:color w:val="000000" w:themeColor="text1"/>
          <w:sz w:val="20"/>
          <w:szCs w:val="20"/>
        </w:rPr>
        <w:t>Exploration Highlights</w:t>
      </w:r>
    </w:p>
    <w:p w14:paraId="55BEC927" w14:textId="148C921D" w:rsidR="00734F82" w:rsidRPr="00DD0DD1" w:rsidRDefault="00734F82" w:rsidP="00DD0DD1">
      <w:pPr>
        <w:jc w:val="both"/>
        <w:rPr>
          <w:rFonts w:cs="Arial"/>
          <w:color w:val="000000" w:themeColor="text1"/>
          <w:szCs w:val="20"/>
        </w:rPr>
      </w:pPr>
      <w:r w:rsidRPr="00DD0DD1">
        <w:rPr>
          <w:rFonts w:cs="Arial"/>
          <w:color w:val="000000" w:themeColor="text1"/>
          <w:szCs w:val="20"/>
        </w:rPr>
        <w:t>The regional Exploration program in the Shayban area is focused on identifying potential deposits of high grade and developing th</w:t>
      </w:r>
      <w:r w:rsidR="00CC6CFB" w:rsidRPr="00DD0DD1">
        <w:rPr>
          <w:rFonts w:cs="Arial"/>
          <w:color w:val="000000" w:themeColor="text1"/>
          <w:szCs w:val="20"/>
        </w:rPr>
        <w:t>ese</w:t>
      </w:r>
      <w:r w:rsidRPr="00DD0DD1">
        <w:rPr>
          <w:rFonts w:cs="Arial"/>
          <w:color w:val="000000" w:themeColor="text1"/>
          <w:szCs w:val="20"/>
        </w:rPr>
        <w:t xml:space="preserve"> into mineable resource with </w:t>
      </w:r>
      <w:r w:rsidR="006C6FA6" w:rsidRPr="00DD0DD1">
        <w:rPr>
          <w:rFonts w:cs="Arial"/>
          <w:color w:val="000000" w:themeColor="text1"/>
          <w:szCs w:val="20"/>
        </w:rPr>
        <w:t>much</w:t>
      </w:r>
      <w:r w:rsidRPr="00DD0DD1">
        <w:rPr>
          <w:rFonts w:cs="Arial"/>
          <w:color w:val="000000" w:themeColor="text1"/>
          <w:szCs w:val="20"/>
        </w:rPr>
        <w:t xml:space="preserve"> of the focus in 2024 and 2025 on delineating and defining the full extent of the </w:t>
      </w:r>
      <w:r w:rsidR="006C6FA6" w:rsidRPr="00DD0DD1">
        <w:rPr>
          <w:rFonts w:cs="Arial"/>
          <w:color w:val="000000" w:themeColor="text1"/>
          <w:szCs w:val="20"/>
        </w:rPr>
        <w:t>iden</w:t>
      </w:r>
      <w:r w:rsidR="006C3CF1" w:rsidRPr="00DD0DD1">
        <w:rPr>
          <w:rFonts w:cs="Arial"/>
          <w:color w:val="000000" w:themeColor="text1"/>
          <w:szCs w:val="20"/>
        </w:rPr>
        <w:t>tified area of potential discovery</w:t>
      </w:r>
      <w:r w:rsidRPr="00DD0DD1">
        <w:rPr>
          <w:rFonts w:cs="Arial"/>
          <w:color w:val="000000" w:themeColor="text1"/>
          <w:szCs w:val="20"/>
        </w:rPr>
        <w:t xml:space="preserve">. </w:t>
      </w:r>
      <w:r w:rsidR="006C3CF1" w:rsidRPr="00DD0DD1">
        <w:rPr>
          <w:rFonts w:cs="Arial"/>
          <w:color w:val="000000" w:themeColor="text1"/>
          <w:szCs w:val="20"/>
        </w:rPr>
        <w:t xml:space="preserve">Drilling </w:t>
      </w:r>
      <w:r w:rsidR="00EB5DE4" w:rsidRPr="00DD0DD1">
        <w:rPr>
          <w:rFonts w:cs="Arial"/>
          <w:color w:val="000000" w:themeColor="text1"/>
          <w:szCs w:val="20"/>
        </w:rPr>
        <w:t xml:space="preserve">is currently in progress. </w:t>
      </w:r>
    </w:p>
    <w:p w14:paraId="1337CF10" w14:textId="77777777" w:rsidR="00734F82" w:rsidRPr="00DD0DD1" w:rsidRDefault="00734F82" w:rsidP="00DD0DD1">
      <w:pPr>
        <w:jc w:val="both"/>
        <w:rPr>
          <w:rFonts w:cs="Arial"/>
          <w:color w:val="000000" w:themeColor="text1"/>
          <w:szCs w:val="20"/>
        </w:rPr>
      </w:pPr>
      <w:r w:rsidRPr="00DD0DD1">
        <w:rPr>
          <w:rFonts w:cs="Arial"/>
          <w:color w:val="000000" w:themeColor="text1"/>
          <w:szCs w:val="20"/>
        </w:rPr>
        <w:t>The following table provides a summary of important assessment and reporting criteria used at the Wadi Al Jaw and Jabal Shayban the reporting of Exploration Results in accordance with the Table 1 checklist in The Australasian Code for the Reporting of Exploration Results, Mineral Resources and Ore Reserves (The JORC Code, 2012 Edition). Criteria in each section apply to all preceding and succeeding sections.</w:t>
      </w:r>
    </w:p>
    <w:p w14:paraId="63101222" w14:textId="5F0F4FE2" w:rsidR="00712A1C" w:rsidRPr="00DD0DD1" w:rsidRDefault="00712A1C">
      <w:pPr>
        <w:spacing w:after="160" w:line="278" w:lineRule="auto"/>
        <w:rPr>
          <w:rFonts w:cs="Arial"/>
          <w:szCs w:val="20"/>
        </w:rPr>
      </w:pPr>
    </w:p>
    <w:p w14:paraId="74F58DFE" w14:textId="0B5550F9" w:rsidR="00712A1C" w:rsidRPr="00DD0DD1" w:rsidRDefault="00712A1C">
      <w:pPr>
        <w:spacing w:after="160" w:line="278" w:lineRule="auto"/>
        <w:rPr>
          <w:rFonts w:eastAsiaTheme="majorEastAsia" w:cs="Arial"/>
          <w:color w:val="0F4761" w:themeColor="accent1" w:themeShade="BF"/>
          <w:szCs w:val="20"/>
        </w:rPr>
      </w:pPr>
      <w:r w:rsidRPr="00DD0DD1">
        <w:rPr>
          <w:rFonts w:cs="Arial"/>
          <w:szCs w:val="20"/>
        </w:rPr>
        <w:br w:type="page"/>
      </w:r>
    </w:p>
    <w:p w14:paraId="1735111E" w14:textId="77777777" w:rsidR="007847FD" w:rsidRDefault="007847FD" w:rsidP="000F6B77">
      <w:pPr>
        <w:pStyle w:val="Heading1"/>
        <w:spacing w:before="0"/>
        <w:rPr>
          <w:rFonts w:asciiTheme="minorHAnsi" w:hAnsiTheme="minorHAnsi"/>
        </w:rPr>
      </w:pPr>
    </w:p>
    <w:p w14:paraId="7522B21E" w14:textId="77777777" w:rsidR="007847FD" w:rsidRDefault="007847FD" w:rsidP="007847FD">
      <w:pPr>
        <w:pStyle w:val="Heading1"/>
        <w:spacing w:before="0"/>
      </w:pPr>
      <w:r>
        <w:t>JORC Code, 2012 Edition – Table 1 report template</w:t>
      </w:r>
    </w:p>
    <w:p w14:paraId="4F181B50" w14:textId="77777777" w:rsidR="007847FD" w:rsidRPr="00C63B2B" w:rsidRDefault="007847FD" w:rsidP="007847FD">
      <w:pPr>
        <w:pStyle w:val="Heading2"/>
        <w:rPr>
          <w:b/>
          <w:lang w:val="en-US"/>
        </w:rPr>
      </w:pPr>
      <w:r w:rsidRPr="00C63B2B">
        <w:rPr>
          <w:b/>
          <w:lang w:val="en-US"/>
        </w:rPr>
        <w:t>Section 1 Sampling Techniques and Data</w:t>
      </w:r>
    </w:p>
    <w:p w14:paraId="6ADCB3FC" w14:textId="77777777" w:rsidR="007847FD" w:rsidRDefault="007847FD" w:rsidP="007847FD">
      <w:pPr>
        <w:keepNext/>
        <w:rPr>
          <w:lang w:val="en-US"/>
        </w:rPr>
      </w:pPr>
      <w:r w:rsidRPr="00C63B2B">
        <w:rPr>
          <w:lang w:val="en-US"/>
        </w:rPr>
        <w:t>(Criteria in this section apply to all succeeding sections.)</w:t>
      </w:r>
    </w:p>
    <w:tbl>
      <w:tblPr>
        <w:tblStyle w:val="LightList-Accent1"/>
        <w:tblW w:w="11785" w:type="dxa"/>
        <w:jc w:val="center"/>
        <w:tblLayout w:type="fixed"/>
        <w:tblLook w:val="04A0" w:firstRow="1" w:lastRow="0" w:firstColumn="1" w:lastColumn="0" w:noHBand="0" w:noVBand="1"/>
      </w:tblPr>
      <w:tblGrid>
        <w:gridCol w:w="1169"/>
        <w:gridCol w:w="5308"/>
        <w:gridCol w:w="5308"/>
      </w:tblGrid>
      <w:tr w:rsidR="007847FD" w:rsidRPr="0058650A" w14:paraId="5BB5DAA8" w14:textId="77777777" w:rsidTr="003B5B3F">
        <w:trPr>
          <w:cnfStyle w:val="100000000000" w:firstRow="1" w:lastRow="0" w:firstColumn="0" w:lastColumn="0" w:oddVBand="0" w:evenVBand="0" w:oddHBand="0" w:evenHBand="0" w:firstRowFirstColumn="0" w:firstRowLastColumn="0" w:lastRowFirstColumn="0" w:lastRowLastColumn="0"/>
          <w:trHeight w:val="345"/>
          <w:tblHeader/>
          <w:jc w:val="center"/>
        </w:trPr>
        <w:tc>
          <w:tcPr>
            <w:cnfStyle w:val="001000000000" w:firstRow="0" w:lastRow="0" w:firstColumn="1" w:lastColumn="0" w:oddVBand="0" w:evenVBand="0" w:oddHBand="0" w:evenHBand="0" w:firstRowFirstColumn="0" w:firstRowLastColumn="0" w:lastRowFirstColumn="0" w:lastRowLastColumn="0"/>
            <w:tcW w:w="1169" w:type="dxa"/>
          </w:tcPr>
          <w:p w14:paraId="2FF1C847" w14:textId="77777777" w:rsidR="007847FD" w:rsidRPr="0058650A" w:rsidRDefault="007847FD" w:rsidP="003B5B3F">
            <w:pPr>
              <w:spacing w:after="120"/>
              <w:rPr>
                <w:sz w:val="16"/>
                <w:szCs w:val="16"/>
                <w:lang w:val="en-US"/>
              </w:rPr>
            </w:pPr>
            <w:r w:rsidRPr="0058650A">
              <w:rPr>
                <w:sz w:val="16"/>
                <w:szCs w:val="16"/>
                <w:lang w:val="en-US"/>
              </w:rPr>
              <w:t>Criteria</w:t>
            </w:r>
          </w:p>
        </w:tc>
        <w:tc>
          <w:tcPr>
            <w:tcW w:w="5308" w:type="dxa"/>
          </w:tcPr>
          <w:p w14:paraId="699D1DB0" w14:textId="77777777" w:rsidR="007847FD" w:rsidRPr="0058650A" w:rsidRDefault="007847FD" w:rsidP="003B5B3F">
            <w:pPr>
              <w:spacing w:after="120"/>
              <w:cnfStyle w:val="100000000000" w:firstRow="1" w:lastRow="0" w:firstColumn="0" w:lastColumn="0" w:oddVBand="0" w:evenVBand="0" w:oddHBand="0" w:evenHBand="0" w:firstRowFirstColumn="0" w:firstRowLastColumn="0" w:lastRowFirstColumn="0" w:lastRowLastColumn="0"/>
              <w:rPr>
                <w:sz w:val="16"/>
                <w:szCs w:val="16"/>
                <w:lang w:val="en-US"/>
              </w:rPr>
            </w:pPr>
            <w:r w:rsidRPr="0058650A">
              <w:rPr>
                <w:sz w:val="16"/>
                <w:szCs w:val="16"/>
                <w:lang w:val="en-US"/>
              </w:rPr>
              <w:t>JORC Code explanation</w:t>
            </w:r>
          </w:p>
        </w:tc>
        <w:tc>
          <w:tcPr>
            <w:tcW w:w="5308" w:type="dxa"/>
          </w:tcPr>
          <w:p w14:paraId="4B88D73B" w14:textId="77777777" w:rsidR="007847FD" w:rsidRPr="0058650A" w:rsidRDefault="007847FD" w:rsidP="003B5B3F">
            <w:pPr>
              <w:spacing w:after="120"/>
              <w:cnfStyle w:val="100000000000" w:firstRow="1" w:lastRow="0" w:firstColumn="0" w:lastColumn="0" w:oddVBand="0" w:evenVBand="0" w:oddHBand="0" w:evenHBand="0" w:firstRowFirstColumn="0" w:firstRowLastColumn="0" w:lastRowFirstColumn="0" w:lastRowLastColumn="0"/>
              <w:rPr>
                <w:sz w:val="16"/>
                <w:szCs w:val="16"/>
                <w:lang w:val="en-US"/>
              </w:rPr>
            </w:pPr>
            <w:r w:rsidRPr="0058650A">
              <w:rPr>
                <w:sz w:val="16"/>
                <w:szCs w:val="16"/>
                <w:lang w:val="en-US"/>
              </w:rPr>
              <w:t>Commentary</w:t>
            </w:r>
          </w:p>
        </w:tc>
      </w:tr>
      <w:tr w:rsidR="007847FD" w:rsidRPr="0058650A" w14:paraId="202D63F9" w14:textId="77777777" w:rsidTr="003B5B3F">
        <w:trPr>
          <w:cnfStyle w:val="000000100000" w:firstRow="0" w:lastRow="0" w:firstColumn="0" w:lastColumn="0" w:oddVBand="0" w:evenVBand="0" w:oddHBand="1" w:evenHBand="0" w:firstRowFirstColumn="0" w:firstRowLastColumn="0" w:lastRowFirstColumn="0" w:lastRowLastColumn="0"/>
          <w:trHeight w:val="3944"/>
          <w:jc w:val="center"/>
        </w:trPr>
        <w:tc>
          <w:tcPr>
            <w:cnfStyle w:val="001000000000" w:firstRow="0" w:lastRow="0" w:firstColumn="1" w:lastColumn="0" w:oddVBand="0" w:evenVBand="0" w:oddHBand="0" w:evenHBand="0" w:firstRowFirstColumn="0" w:firstRowLastColumn="0" w:lastRowFirstColumn="0" w:lastRowLastColumn="0"/>
            <w:tcW w:w="1169" w:type="dxa"/>
          </w:tcPr>
          <w:p w14:paraId="6A925245" w14:textId="77777777" w:rsidR="007847FD" w:rsidRPr="0058650A" w:rsidRDefault="007847FD" w:rsidP="003B5B3F">
            <w:pPr>
              <w:spacing w:after="120"/>
              <w:rPr>
                <w:b w:val="0"/>
                <w:sz w:val="16"/>
                <w:szCs w:val="16"/>
                <w:lang w:val="en-US"/>
              </w:rPr>
            </w:pPr>
            <w:r w:rsidRPr="0058650A">
              <w:rPr>
                <w:b w:val="0"/>
                <w:i/>
                <w:sz w:val="16"/>
                <w:szCs w:val="16"/>
                <w:lang w:val="en-US"/>
              </w:rPr>
              <w:t>Sampling techniques</w:t>
            </w:r>
          </w:p>
        </w:tc>
        <w:tc>
          <w:tcPr>
            <w:tcW w:w="5308" w:type="dxa"/>
          </w:tcPr>
          <w:p w14:paraId="0A6B08D8"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Nature and quality of sampling (e.g. cut channels, random chips, or specific specialised industry standard measurement tools appropriate to the minerals under investigation, such as down hole gamma sondes, or handheld XRF instruments, etc). These examples should not be taken as limiting the broad meaning of sampling.</w:t>
            </w:r>
          </w:p>
          <w:p w14:paraId="473F0FE6"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Include reference to measures taken to ensure sample representivity and the appropriate calibration of any measurement tools or systems used.</w:t>
            </w:r>
          </w:p>
          <w:p w14:paraId="5951C4B1"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Aspects of the determination of mineralisation that are Material to the Public Report.</w:t>
            </w:r>
          </w:p>
          <w:p w14:paraId="30F3A7D9"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 xml:space="preserve">In cases where ‘industry standard’ work has been done this would be relatively simple (e.g. ‘reverse circulation drilling was used to obtain 1 m samples from which 3 kg was pulverised to produce a 30 g charge for fire assay’). In other </w:t>
            </w:r>
            <w:proofErr w:type="gramStart"/>
            <w:r w:rsidRPr="0058650A">
              <w:rPr>
                <w:rFonts w:cs="Arial"/>
                <w:i/>
                <w:sz w:val="16"/>
                <w:szCs w:val="16"/>
              </w:rPr>
              <w:t>cases</w:t>
            </w:r>
            <w:proofErr w:type="gramEnd"/>
            <w:r w:rsidRPr="0058650A">
              <w:rPr>
                <w:rFonts w:cs="Arial"/>
                <w:i/>
                <w:sz w:val="16"/>
                <w:szCs w:val="16"/>
              </w:rPr>
              <w:t xml:space="preserve"> more explanation may be required, such as where there is coarse gold that has inherent sampling problems. Unusual commodities or mineralisation types (e.g. submarine nodules) may warrant disclosure of detailed information.</w:t>
            </w:r>
          </w:p>
        </w:tc>
        <w:tc>
          <w:tcPr>
            <w:tcW w:w="5308" w:type="dxa"/>
          </w:tcPr>
          <w:p w14:paraId="0E7AF8BE"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Diamond drill core is photographed, logged, sawn to half and samples by the Maaden personals at the onsite core yard. </w:t>
            </w:r>
          </w:p>
          <w:p w14:paraId="1EA53A63"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Diamond drill core (DD) HQ half core is sampled by </w:t>
            </w:r>
            <w:r>
              <w:rPr>
                <w:rFonts w:cs="Arial"/>
                <w:sz w:val="16"/>
                <w:szCs w:val="16"/>
              </w:rPr>
              <w:t>geological (lithological, alteration and mineralisation)</w:t>
            </w:r>
            <w:r w:rsidRPr="0058650A">
              <w:rPr>
                <w:rFonts w:cs="Arial"/>
                <w:sz w:val="16"/>
                <w:szCs w:val="16"/>
              </w:rPr>
              <w:t xml:space="preserve"> contacts with minimum of 0.3m and maximum length of 1.4m </w:t>
            </w:r>
          </w:p>
          <w:p w14:paraId="43BDA5A2" w14:textId="77777777" w:rsidR="007847FD"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Logging and assays protocol in place from the start of the project as in 2023. </w:t>
            </w:r>
          </w:p>
          <w:p w14:paraId="5D87FE22" w14:textId="77777777" w:rsidR="007847FD" w:rsidRPr="00AA2207"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AA2207">
              <w:rPr>
                <w:rFonts w:cs="Arial"/>
                <w:color w:val="000000" w:themeColor="text1"/>
                <w:sz w:val="16"/>
                <w:szCs w:val="16"/>
              </w:rPr>
              <w:t xml:space="preserve">Chanel sampling is conducted as continues chip sampling with chisel and hammer along the track, with starting coordinate and every end of samples coordinate marked and picked with differential GPS. </w:t>
            </w:r>
          </w:p>
          <w:p w14:paraId="452D46BA" w14:textId="77777777" w:rsidR="007847FD" w:rsidRPr="00AA2207"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AA2207">
              <w:rPr>
                <w:rFonts w:cs="Arial"/>
                <w:color w:val="000000" w:themeColor="text1"/>
                <w:sz w:val="16"/>
                <w:szCs w:val="16"/>
              </w:rPr>
              <w:t>A certified reference materials (CRM) inserted into the sample stream in every 20</w:t>
            </w:r>
            <w:r w:rsidRPr="00AA2207">
              <w:rPr>
                <w:rFonts w:cs="Arial"/>
                <w:color w:val="000000" w:themeColor="text1"/>
                <w:sz w:val="16"/>
                <w:szCs w:val="16"/>
                <w:vertAlign w:val="superscript"/>
              </w:rPr>
              <w:t>th</w:t>
            </w:r>
            <w:r w:rsidRPr="00AA2207">
              <w:rPr>
                <w:rFonts w:cs="Arial"/>
                <w:color w:val="000000" w:themeColor="text1"/>
                <w:sz w:val="16"/>
                <w:szCs w:val="16"/>
              </w:rPr>
              <w:t xml:space="preserve"> sample, blanks from granite samples inserted at rate of 1 in every 20 intervals. Coarse duplicate and pulp duplicates are inserted at rate of 1 in every 20 samples. </w:t>
            </w:r>
          </w:p>
          <w:p w14:paraId="74FF2861"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The remaining half cut core is stored on site for future works and references. </w:t>
            </w:r>
          </w:p>
          <w:p w14:paraId="7BBD1722"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Pulp from the ALS is returned to site after 6 months for storage at the request of the client for further works when needed. </w:t>
            </w:r>
          </w:p>
        </w:tc>
      </w:tr>
      <w:tr w:rsidR="007847FD" w:rsidRPr="0058650A" w14:paraId="07ABBA35" w14:textId="77777777" w:rsidTr="003B5B3F">
        <w:trPr>
          <w:trHeight w:val="1764"/>
          <w:jc w:val="center"/>
        </w:trPr>
        <w:tc>
          <w:tcPr>
            <w:cnfStyle w:val="001000000000" w:firstRow="0" w:lastRow="0" w:firstColumn="1" w:lastColumn="0" w:oddVBand="0" w:evenVBand="0" w:oddHBand="0" w:evenHBand="0" w:firstRowFirstColumn="0" w:firstRowLastColumn="0" w:lastRowFirstColumn="0" w:lastRowLastColumn="0"/>
            <w:tcW w:w="1169" w:type="dxa"/>
          </w:tcPr>
          <w:p w14:paraId="0860FB3C" w14:textId="77777777" w:rsidR="007847FD" w:rsidRPr="0058650A" w:rsidRDefault="007847FD" w:rsidP="003B5B3F">
            <w:pPr>
              <w:spacing w:after="120"/>
              <w:rPr>
                <w:b w:val="0"/>
                <w:sz w:val="16"/>
                <w:szCs w:val="16"/>
                <w:lang w:val="en-US"/>
              </w:rPr>
            </w:pPr>
            <w:r w:rsidRPr="0058650A">
              <w:rPr>
                <w:b w:val="0"/>
                <w:i/>
                <w:sz w:val="16"/>
                <w:szCs w:val="16"/>
                <w:lang w:val="en-US"/>
              </w:rPr>
              <w:t>Drilling techniques</w:t>
            </w:r>
          </w:p>
        </w:tc>
        <w:tc>
          <w:tcPr>
            <w:tcW w:w="5308" w:type="dxa"/>
          </w:tcPr>
          <w:p w14:paraId="0B92F3FB"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Drill type (eg core, reverse circulation, open-hole hammer, rotary air blast, auger, Bangka, sonic, etc) and details (eg core diameter, triple or standard tube, depth of diamond tails, face-sampling bit or other type, whether core is oriented and if so, by what method, etc).</w:t>
            </w:r>
          </w:p>
        </w:tc>
        <w:tc>
          <w:tcPr>
            <w:tcW w:w="5308" w:type="dxa"/>
          </w:tcPr>
          <w:p w14:paraId="1FA6AD17"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The diamond drill core is obtained generally using HQ diameter drilling, but occasionally dues to ground condition, holes often start with PQ diameter core</w:t>
            </w:r>
            <w:bookmarkStart w:id="0" w:name="_Int_uYmJwabB"/>
            <w:r w:rsidRPr="0058650A">
              <w:rPr>
                <w:rFonts w:cs="Arial"/>
                <w:sz w:val="16"/>
                <w:szCs w:val="16"/>
              </w:rPr>
              <w:t xml:space="preserve">.  </w:t>
            </w:r>
            <w:bookmarkEnd w:id="0"/>
          </w:p>
          <w:p w14:paraId="584B1B14"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Where downhole surveying was undertaken, it was conducted using a Reflex Ez- Trac multi-shot survey instruments.</w:t>
            </w:r>
          </w:p>
          <w:p w14:paraId="545AB24B"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All DDH were orientated at using a Reflex ACT II orientation tool.</w:t>
            </w:r>
          </w:p>
          <w:p w14:paraId="3676D3E5" w14:textId="77777777" w:rsidR="007847FD" w:rsidRPr="0058650A" w:rsidRDefault="007847FD" w:rsidP="003B5B3F">
            <w:pPr>
              <w:pStyle w:val="ListParagraph"/>
              <w:widowControl w:val="0"/>
              <w:spacing w:after="120"/>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847FD" w:rsidRPr="0058650A" w14:paraId="0F601285" w14:textId="77777777" w:rsidTr="003B5B3F">
        <w:trPr>
          <w:cnfStyle w:val="000000100000" w:firstRow="0" w:lastRow="0" w:firstColumn="0" w:lastColumn="0" w:oddVBand="0" w:evenVBand="0" w:oddHBand="1" w:evenHBand="0" w:firstRowFirstColumn="0" w:firstRowLastColumn="0" w:lastRowFirstColumn="0" w:lastRowLastColumn="0"/>
          <w:trHeight w:val="1642"/>
          <w:jc w:val="center"/>
        </w:trPr>
        <w:tc>
          <w:tcPr>
            <w:cnfStyle w:val="001000000000" w:firstRow="0" w:lastRow="0" w:firstColumn="1" w:lastColumn="0" w:oddVBand="0" w:evenVBand="0" w:oddHBand="0" w:evenHBand="0" w:firstRowFirstColumn="0" w:firstRowLastColumn="0" w:lastRowFirstColumn="0" w:lastRowLastColumn="0"/>
            <w:tcW w:w="1169" w:type="dxa"/>
          </w:tcPr>
          <w:p w14:paraId="621337B4" w14:textId="77777777" w:rsidR="007847FD" w:rsidRPr="0058650A" w:rsidRDefault="007847FD" w:rsidP="003B5B3F">
            <w:pPr>
              <w:spacing w:after="120"/>
              <w:rPr>
                <w:b w:val="0"/>
                <w:sz w:val="16"/>
                <w:szCs w:val="16"/>
                <w:lang w:val="en-US"/>
              </w:rPr>
            </w:pPr>
            <w:r w:rsidRPr="0058650A">
              <w:rPr>
                <w:b w:val="0"/>
                <w:i/>
                <w:sz w:val="16"/>
                <w:szCs w:val="16"/>
                <w:lang w:val="en-US"/>
              </w:rPr>
              <w:t>Drill sample recovery</w:t>
            </w:r>
          </w:p>
        </w:tc>
        <w:tc>
          <w:tcPr>
            <w:tcW w:w="5308" w:type="dxa"/>
          </w:tcPr>
          <w:p w14:paraId="164CD3ED"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Method of recording and assessing core and chip sample recoveries and results assessed.</w:t>
            </w:r>
          </w:p>
          <w:p w14:paraId="1C6AF547"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Measures taken to maximise sample recovery and ensure representative nature of the samples.</w:t>
            </w:r>
          </w:p>
          <w:p w14:paraId="4E5077E3"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Whether a relationship exists between sample recovery and grade and whether sample bias may have occurred due to preferential loss/gain of fine/coarse material.</w:t>
            </w:r>
          </w:p>
        </w:tc>
        <w:tc>
          <w:tcPr>
            <w:tcW w:w="5308" w:type="dxa"/>
          </w:tcPr>
          <w:p w14:paraId="00142A2B"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Drilling recovery is recorded for every run and in general there is excesses of 95% recovery. </w:t>
            </w:r>
          </w:p>
          <w:p w14:paraId="20A259E9"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There is no bias with grade and core recovery noted so far in the obtained results. </w:t>
            </w:r>
          </w:p>
        </w:tc>
      </w:tr>
      <w:tr w:rsidR="007847FD" w:rsidRPr="0058650A" w14:paraId="1ABE52D8" w14:textId="77777777" w:rsidTr="003B5B3F">
        <w:trPr>
          <w:trHeight w:val="1642"/>
          <w:jc w:val="center"/>
        </w:trPr>
        <w:tc>
          <w:tcPr>
            <w:cnfStyle w:val="001000000000" w:firstRow="0" w:lastRow="0" w:firstColumn="1" w:lastColumn="0" w:oddVBand="0" w:evenVBand="0" w:oddHBand="0" w:evenHBand="0" w:firstRowFirstColumn="0" w:firstRowLastColumn="0" w:lastRowFirstColumn="0" w:lastRowLastColumn="0"/>
            <w:tcW w:w="1169" w:type="dxa"/>
          </w:tcPr>
          <w:p w14:paraId="73B33561" w14:textId="77777777" w:rsidR="007847FD" w:rsidRPr="0058650A" w:rsidRDefault="007847FD" w:rsidP="003B5B3F">
            <w:pPr>
              <w:spacing w:after="120"/>
              <w:rPr>
                <w:b w:val="0"/>
                <w:sz w:val="16"/>
                <w:szCs w:val="16"/>
                <w:lang w:val="en-US"/>
              </w:rPr>
            </w:pPr>
            <w:r w:rsidRPr="0058650A">
              <w:rPr>
                <w:b w:val="0"/>
                <w:i/>
                <w:sz w:val="16"/>
                <w:szCs w:val="16"/>
                <w:lang w:val="en-US"/>
              </w:rPr>
              <w:t>Logging</w:t>
            </w:r>
          </w:p>
        </w:tc>
        <w:tc>
          <w:tcPr>
            <w:tcW w:w="5308" w:type="dxa"/>
          </w:tcPr>
          <w:p w14:paraId="3D13CBDD"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Whether core and chip samples have been geologically and geotechnically logged to a level of detail to support appropriate Mineral Resource estimation, mining studies and metallurgical studies.</w:t>
            </w:r>
          </w:p>
          <w:p w14:paraId="3B80C044"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Whether logging is qualitative or quantitative in nature. Core (or costean, channel, etc) photography.</w:t>
            </w:r>
          </w:p>
          <w:p w14:paraId="555CC885"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The total length and percentage of the relevant intersections logged.</w:t>
            </w:r>
          </w:p>
        </w:tc>
        <w:tc>
          <w:tcPr>
            <w:tcW w:w="5308" w:type="dxa"/>
          </w:tcPr>
          <w:p w14:paraId="63856BA8"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 xml:space="preserve">Diamond core was photographed, logged following Maaden logging procedure in RR1. </w:t>
            </w:r>
          </w:p>
          <w:p w14:paraId="108007F7"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Downhole information logged include Lithology, Structures, Alteration, Mineralization.</w:t>
            </w:r>
          </w:p>
        </w:tc>
      </w:tr>
      <w:tr w:rsidR="007847FD" w:rsidRPr="0058650A" w14:paraId="2D001E9E" w14:textId="77777777" w:rsidTr="003B5B3F">
        <w:trPr>
          <w:cnfStyle w:val="000000100000" w:firstRow="0" w:lastRow="0" w:firstColumn="0" w:lastColumn="0" w:oddVBand="0" w:evenVBand="0" w:oddHBand="1" w:evenHBand="0" w:firstRowFirstColumn="0" w:firstRowLastColumn="0" w:lastRowFirstColumn="0" w:lastRowLastColumn="0"/>
          <w:trHeight w:val="1863"/>
          <w:jc w:val="center"/>
        </w:trPr>
        <w:tc>
          <w:tcPr>
            <w:cnfStyle w:val="001000000000" w:firstRow="0" w:lastRow="0" w:firstColumn="1" w:lastColumn="0" w:oddVBand="0" w:evenVBand="0" w:oddHBand="0" w:evenHBand="0" w:firstRowFirstColumn="0" w:firstRowLastColumn="0" w:lastRowFirstColumn="0" w:lastRowLastColumn="0"/>
            <w:tcW w:w="1169" w:type="dxa"/>
          </w:tcPr>
          <w:p w14:paraId="127CE038" w14:textId="77777777" w:rsidR="007847FD" w:rsidRPr="0058650A" w:rsidRDefault="007847FD" w:rsidP="003B5B3F">
            <w:pPr>
              <w:spacing w:after="120"/>
              <w:rPr>
                <w:b w:val="0"/>
                <w:sz w:val="16"/>
                <w:szCs w:val="16"/>
                <w:lang w:val="en-US"/>
              </w:rPr>
            </w:pPr>
            <w:r w:rsidRPr="0058650A">
              <w:rPr>
                <w:b w:val="0"/>
                <w:i/>
                <w:sz w:val="16"/>
                <w:szCs w:val="16"/>
                <w:lang w:val="en-US"/>
              </w:rPr>
              <w:lastRenderedPageBreak/>
              <w:t>Sub-sampling techniques and sample preparation</w:t>
            </w:r>
          </w:p>
        </w:tc>
        <w:tc>
          <w:tcPr>
            <w:tcW w:w="5308" w:type="dxa"/>
          </w:tcPr>
          <w:p w14:paraId="5BB27D37"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 xml:space="preserve">If core, whether cut or sawn and whether quarter, half or all </w:t>
            </w:r>
            <w:proofErr w:type="gramStart"/>
            <w:r w:rsidRPr="0058650A">
              <w:rPr>
                <w:rFonts w:cs="Arial"/>
                <w:i/>
                <w:sz w:val="16"/>
                <w:szCs w:val="16"/>
              </w:rPr>
              <w:t>core</w:t>
            </w:r>
            <w:proofErr w:type="gramEnd"/>
            <w:r w:rsidRPr="0058650A">
              <w:rPr>
                <w:rFonts w:cs="Arial"/>
                <w:i/>
                <w:sz w:val="16"/>
                <w:szCs w:val="16"/>
              </w:rPr>
              <w:t xml:space="preserve"> taken.</w:t>
            </w:r>
          </w:p>
          <w:p w14:paraId="697A7BA6"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If non-core, whether riffled, tube sampled, rotary split, etc and whether sampled wet or dry.</w:t>
            </w:r>
          </w:p>
          <w:p w14:paraId="1AE672E3"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For all sample types, the nature, quality and appropriateness of the sample preparation technique.</w:t>
            </w:r>
          </w:p>
          <w:p w14:paraId="15D2314E"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Quality control procedures adopted for all sub-sampling stages to maximise representivity of samples.</w:t>
            </w:r>
          </w:p>
          <w:p w14:paraId="3BBA31B6"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 xml:space="preserve">Measures taken to ensure that the sampling is representative of the </w:t>
            </w:r>
            <w:proofErr w:type="gramStart"/>
            <w:r w:rsidRPr="0058650A">
              <w:rPr>
                <w:rFonts w:cs="Arial"/>
                <w:i/>
                <w:sz w:val="16"/>
                <w:szCs w:val="16"/>
              </w:rPr>
              <w:t>in situ</w:t>
            </w:r>
            <w:proofErr w:type="gramEnd"/>
            <w:r w:rsidRPr="0058650A">
              <w:rPr>
                <w:rFonts w:cs="Arial"/>
                <w:i/>
                <w:sz w:val="16"/>
                <w:szCs w:val="16"/>
              </w:rPr>
              <w:t xml:space="preserve"> material collected, including for instance results for field duplicate/second-half sampling.</w:t>
            </w:r>
          </w:p>
          <w:p w14:paraId="7111EBAE"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Whether sample sizes are appropriate to the grain size of the material being sampled.</w:t>
            </w:r>
          </w:p>
        </w:tc>
        <w:tc>
          <w:tcPr>
            <w:tcW w:w="5308" w:type="dxa"/>
          </w:tcPr>
          <w:p w14:paraId="578B66E0"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DDH core has generally been sampled as 1 m intervals, ensuring </w:t>
            </w:r>
            <w:r w:rsidRPr="0BA43517">
              <w:rPr>
                <w:rFonts w:cs="Arial"/>
                <w:sz w:val="16"/>
                <w:szCs w:val="16"/>
              </w:rPr>
              <w:t>as far</w:t>
            </w:r>
            <w:r w:rsidRPr="0058650A">
              <w:rPr>
                <w:rFonts w:cs="Arial"/>
                <w:sz w:val="16"/>
                <w:szCs w:val="16"/>
              </w:rPr>
              <w:t xml:space="preserve"> as possible that lithological, alteration and or mineralisation boundaries are honoured. Minimum sample length is approximately 0.3 m and maximum sample length is typically 1.4 m.</w:t>
            </w:r>
          </w:p>
          <w:p w14:paraId="19F6722C" w14:textId="77777777" w:rsidR="007847FD"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DDH half core is sent for analysis alongside appropriate QAQC samples</w:t>
            </w:r>
          </w:p>
          <w:p w14:paraId="1E86D0D0" w14:textId="77777777" w:rsidR="007847FD" w:rsidRPr="00AA2207"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AA2207">
              <w:rPr>
                <w:rFonts w:cs="Arial"/>
                <w:color w:val="000000" w:themeColor="text1"/>
                <w:sz w:val="16"/>
                <w:szCs w:val="16"/>
              </w:rPr>
              <w:t xml:space="preserve">Channel </w:t>
            </w:r>
            <w:proofErr w:type="gramStart"/>
            <w:r w:rsidRPr="00AA2207">
              <w:rPr>
                <w:rFonts w:cs="Arial"/>
                <w:color w:val="000000" w:themeColor="text1"/>
                <w:sz w:val="16"/>
                <w:szCs w:val="16"/>
              </w:rPr>
              <w:t>sample</w:t>
            </w:r>
            <w:proofErr w:type="gramEnd"/>
            <w:r w:rsidRPr="00AA2207">
              <w:rPr>
                <w:rFonts w:cs="Arial"/>
                <w:color w:val="000000" w:themeColor="text1"/>
                <w:sz w:val="16"/>
                <w:szCs w:val="16"/>
              </w:rPr>
              <w:t xml:space="preserve"> are collected with chisel and harmer as continues chipping along the tract at approximately 0.5 to 3m intervals. </w:t>
            </w:r>
          </w:p>
          <w:p w14:paraId="35057256"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At ALS samples are received, logged, and checked against the dispatch sheet before drying and pulverising until &gt;70% of material passes a &lt; 2 mm screen. Of the approximately 250 to 300 g pulp produced at the pulverisation stage, an approximate 100 g split was submitted for fire assay (each fire assay being of a 50 g aliquot).</w:t>
            </w:r>
          </w:p>
        </w:tc>
      </w:tr>
      <w:tr w:rsidR="007847FD" w:rsidRPr="0058650A" w14:paraId="3C68A17A" w14:textId="77777777" w:rsidTr="003B5B3F">
        <w:trPr>
          <w:trHeight w:val="143"/>
          <w:jc w:val="center"/>
        </w:trPr>
        <w:tc>
          <w:tcPr>
            <w:cnfStyle w:val="001000000000" w:firstRow="0" w:lastRow="0" w:firstColumn="1" w:lastColumn="0" w:oddVBand="0" w:evenVBand="0" w:oddHBand="0" w:evenHBand="0" w:firstRowFirstColumn="0" w:firstRowLastColumn="0" w:lastRowFirstColumn="0" w:lastRowLastColumn="0"/>
            <w:tcW w:w="1169" w:type="dxa"/>
          </w:tcPr>
          <w:p w14:paraId="78A350E9" w14:textId="77777777" w:rsidR="007847FD" w:rsidRPr="0058650A" w:rsidRDefault="007847FD" w:rsidP="003B5B3F">
            <w:pPr>
              <w:spacing w:after="120"/>
              <w:rPr>
                <w:b w:val="0"/>
                <w:sz w:val="16"/>
                <w:szCs w:val="16"/>
                <w:lang w:val="en-US"/>
              </w:rPr>
            </w:pPr>
            <w:r w:rsidRPr="0058650A">
              <w:rPr>
                <w:b w:val="0"/>
                <w:i/>
                <w:sz w:val="16"/>
                <w:szCs w:val="16"/>
                <w:lang w:val="en-US"/>
              </w:rPr>
              <w:t>Quality of assay data and laboratory tests</w:t>
            </w:r>
          </w:p>
        </w:tc>
        <w:tc>
          <w:tcPr>
            <w:tcW w:w="5308" w:type="dxa"/>
          </w:tcPr>
          <w:p w14:paraId="2C63FFB8"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The nature, quality and appropriateness of the assaying and laboratory procedures used and whether the technique is considered partial or total.</w:t>
            </w:r>
          </w:p>
          <w:p w14:paraId="1356001A"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For geophysical tools, spectrometers, handheld XRF instruments, etc, the parameters used in determining the analysis including instrument make and model, reading times, calibrations factors applied and their derivation, etc.</w:t>
            </w:r>
          </w:p>
          <w:p w14:paraId="654E9925"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Nature of quality control procedures adopted (eg standards, blanks, duplicates, external laboratory checks) and whether acceptable levels of accuracy (ie lack of bias) and precision have been established.</w:t>
            </w:r>
          </w:p>
        </w:tc>
        <w:tc>
          <w:tcPr>
            <w:tcW w:w="5308" w:type="dxa"/>
          </w:tcPr>
          <w:p w14:paraId="13560705"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 xml:space="preserve"> Analysis at ALS was conducted using fire assay with an atomic absorption spectroscopy (AAS) finish (Method code: Au-AA26). If the AAS finish returned a sample grade greater than 100 g/t Au, the assay laboratory undertook a gravimetric finish. Other elements of interest were analysed by ALS using an ICP-MS (Method code: ME-ICP41) finish.</w:t>
            </w:r>
          </w:p>
          <w:p w14:paraId="665817D7"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QAQC samples included: blanks, certified reference materials (CRM) and duplicate samples including coarse and pulp duplicates.</w:t>
            </w:r>
          </w:p>
          <w:p w14:paraId="5C9788D1"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 xml:space="preserve">No serious QAQC issues are evident based on these results. </w:t>
            </w:r>
          </w:p>
        </w:tc>
      </w:tr>
      <w:tr w:rsidR="007847FD" w:rsidRPr="0058650A" w14:paraId="1C4FC196" w14:textId="77777777" w:rsidTr="003B5B3F">
        <w:trPr>
          <w:cnfStyle w:val="000000100000" w:firstRow="0" w:lastRow="0" w:firstColumn="0" w:lastColumn="0" w:oddVBand="0" w:evenVBand="0" w:oddHBand="1" w:evenHBand="0" w:firstRowFirstColumn="0" w:firstRowLastColumn="0" w:lastRowFirstColumn="0" w:lastRowLastColumn="0"/>
          <w:trHeight w:val="143"/>
          <w:jc w:val="center"/>
        </w:trPr>
        <w:tc>
          <w:tcPr>
            <w:cnfStyle w:val="001000000000" w:firstRow="0" w:lastRow="0" w:firstColumn="1" w:lastColumn="0" w:oddVBand="0" w:evenVBand="0" w:oddHBand="0" w:evenHBand="0" w:firstRowFirstColumn="0" w:firstRowLastColumn="0" w:lastRowFirstColumn="0" w:lastRowLastColumn="0"/>
            <w:tcW w:w="1169" w:type="dxa"/>
          </w:tcPr>
          <w:p w14:paraId="1507A036" w14:textId="77777777" w:rsidR="007847FD" w:rsidRPr="0058650A" w:rsidRDefault="007847FD" w:rsidP="003B5B3F">
            <w:pPr>
              <w:spacing w:after="120"/>
              <w:rPr>
                <w:b w:val="0"/>
                <w:sz w:val="16"/>
                <w:szCs w:val="16"/>
                <w:lang w:val="en-US"/>
              </w:rPr>
            </w:pPr>
            <w:r w:rsidRPr="0058650A">
              <w:rPr>
                <w:b w:val="0"/>
                <w:i/>
                <w:sz w:val="16"/>
                <w:szCs w:val="16"/>
                <w:lang w:val="en-US"/>
              </w:rPr>
              <w:t>Verification of sampling and assaying</w:t>
            </w:r>
          </w:p>
        </w:tc>
        <w:tc>
          <w:tcPr>
            <w:tcW w:w="5308" w:type="dxa"/>
          </w:tcPr>
          <w:p w14:paraId="6099F7C1"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The verification of significant intersections by either independent or alternative company personnel.</w:t>
            </w:r>
          </w:p>
          <w:p w14:paraId="0DC2938A"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The use of twinned holes.</w:t>
            </w:r>
          </w:p>
          <w:p w14:paraId="7CA2C23C"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Documentation of primary data, data entry procedures, data verification, data storage (physical and electronic) protocols.</w:t>
            </w:r>
          </w:p>
          <w:p w14:paraId="0B028557"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Discuss any adjustment to assay data.</w:t>
            </w:r>
          </w:p>
        </w:tc>
        <w:tc>
          <w:tcPr>
            <w:tcW w:w="5308" w:type="dxa"/>
          </w:tcPr>
          <w:p w14:paraId="7AC212B9"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sz w:val="16"/>
                <w:szCs w:val="16"/>
              </w:rPr>
              <w:t>To</w:t>
            </w:r>
            <w:r w:rsidRPr="0058650A">
              <w:rPr>
                <w:spacing w:val="-3"/>
                <w:sz w:val="16"/>
                <w:szCs w:val="16"/>
              </w:rPr>
              <w:t xml:space="preserve"> </w:t>
            </w:r>
            <w:r w:rsidRPr="0058650A">
              <w:rPr>
                <w:sz w:val="16"/>
                <w:szCs w:val="16"/>
              </w:rPr>
              <w:t>date</w:t>
            </w:r>
            <w:r w:rsidRPr="0058650A">
              <w:rPr>
                <w:spacing w:val="-3"/>
                <w:sz w:val="16"/>
                <w:szCs w:val="16"/>
              </w:rPr>
              <w:t xml:space="preserve"> </w:t>
            </w:r>
            <w:r w:rsidRPr="0058650A">
              <w:rPr>
                <w:sz w:val="16"/>
                <w:szCs w:val="16"/>
              </w:rPr>
              <w:t>no verification</w:t>
            </w:r>
            <w:r w:rsidRPr="0058650A">
              <w:rPr>
                <w:spacing w:val="-4"/>
                <w:sz w:val="16"/>
                <w:szCs w:val="16"/>
              </w:rPr>
              <w:t xml:space="preserve"> holes </w:t>
            </w:r>
            <w:r w:rsidRPr="0058650A">
              <w:rPr>
                <w:sz w:val="16"/>
                <w:szCs w:val="16"/>
              </w:rPr>
              <w:t>has</w:t>
            </w:r>
            <w:r w:rsidRPr="0058650A">
              <w:rPr>
                <w:spacing w:val="-3"/>
                <w:sz w:val="16"/>
                <w:szCs w:val="16"/>
              </w:rPr>
              <w:t xml:space="preserve"> </w:t>
            </w:r>
            <w:r w:rsidRPr="0058650A">
              <w:rPr>
                <w:sz w:val="16"/>
                <w:szCs w:val="16"/>
              </w:rPr>
              <w:t>been</w:t>
            </w:r>
            <w:r w:rsidRPr="0058650A">
              <w:rPr>
                <w:spacing w:val="-3"/>
                <w:sz w:val="16"/>
                <w:szCs w:val="16"/>
              </w:rPr>
              <w:t xml:space="preserve"> </w:t>
            </w:r>
            <w:r w:rsidRPr="0058650A">
              <w:rPr>
                <w:sz w:val="16"/>
                <w:szCs w:val="16"/>
              </w:rPr>
              <w:t>drilled</w:t>
            </w:r>
            <w:r w:rsidRPr="0058650A">
              <w:rPr>
                <w:spacing w:val="-3"/>
                <w:sz w:val="16"/>
                <w:szCs w:val="16"/>
              </w:rPr>
              <w:t xml:space="preserve"> </w:t>
            </w:r>
            <w:r w:rsidRPr="0058650A">
              <w:rPr>
                <w:sz w:val="16"/>
                <w:szCs w:val="16"/>
              </w:rPr>
              <w:t>at</w:t>
            </w:r>
            <w:r w:rsidRPr="0058650A">
              <w:rPr>
                <w:spacing w:val="-3"/>
                <w:sz w:val="16"/>
                <w:szCs w:val="16"/>
              </w:rPr>
              <w:t xml:space="preserve"> </w:t>
            </w:r>
            <w:r w:rsidRPr="0058650A">
              <w:rPr>
                <w:sz w:val="16"/>
                <w:szCs w:val="16"/>
              </w:rPr>
              <w:t>Wadi Al Jaww,</w:t>
            </w:r>
            <w:r w:rsidRPr="0058650A">
              <w:rPr>
                <w:spacing w:val="-3"/>
                <w:sz w:val="16"/>
                <w:szCs w:val="16"/>
              </w:rPr>
              <w:t xml:space="preserve"> the first </w:t>
            </w:r>
            <w:r w:rsidRPr="0058650A">
              <w:rPr>
                <w:sz w:val="16"/>
                <w:szCs w:val="16"/>
              </w:rPr>
              <w:t>2 holes</w:t>
            </w:r>
            <w:r w:rsidRPr="0058650A">
              <w:rPr>
                <w:spacing w:val="-3"/>
                <w:sz w:val="16"/>
                <w:szCs w:val="16"/>
              </w:rPr>
              <w:t xml:space="preserve"> </w:t>
            </w:r>
            <w:r w:rsidRPr="0058650A">
              <w:rPr>
                <w:sz w:val="16"/>
                <w:szCs w:val="16"/>
              </w:rPr>
              <w:t>display</w:t>
            </w:r>
            <w:r w:rsidRPr="0058650A">
              <w:rPr>
                <w:spacing w:val="-3"/>
                <w:sz w:val="16"/>
                <w:szCs w:val="16"/>
              </w:rPr>
              <w:t xml:space="preserve"> </w:t>
            </w:r>
            <w:r w:rsidRPr="0058650A">
              <w:rPr>
                <w:sz w:val="16"/>
                <w:szCs w:val="16"/>
              </w:rPr>
              <w:t>a</w:t>
            </w:r>
            <w:r w:rsidRPr="0058650A">
              <w:rPr>
                <w:spacing w:val="-4"/>
                <w:sz w:val="16"/>
                <w:szCs w:val="16"/>
              </w:rPr>
              <w:t xml:space="preserve"> </w:t>
            </w:r>
            <w:r w:rsidRPr="0058650A">
              <w:rPr>
                <w:sz w:val="16"/>
                <w:szCs w:val="16"/>
              </w:rPr>
              <w:t>similar</w:t>
            </w:r>
            <w:r w:rsidRPr="0058650A">
              <w:rPr>
                <w:spacing w:val="-3"/>
                <w:sz w:val="16"/>
                <w:szCs w:val="16"/>
              </w:rPr>
              <w:t xml:space="preserve"> </w:t>
            </w:r>
            <w:r w:rsidRPr="0058650A">
              <w:rPr>
                <w:sz w:val="16"/>
                <w:szCs w:val="16"/>
              </w:rPr>
              <w:t>pattern</w:t>
            </w:r>
            <w:r w:rsidRPr="0058650A">
              <w:rPr>
                <w:spacing w:val="-3"/>
                <w:sz w:val="16"/>
                <w:szCs w:val="16"/>
              </w:rPr>
              <w:t xml:space="preserve"> </w:t>
            </w:r>
            <w:r w:rsidRPr="0058650A">
              <w:rPr>
                <w:sz w:val="16"/>
                <w:szCs w:val="16"/>
              </w:rPr>
              <w:t>of</w:t>
            </w:r>
            <w:r w:rsidRPr="0058650A">
              <w:rPr>
                <w:spacing w:val="-3"/>
                <w:sz w:val="16"/>
                <w:szCs w:val="16"/>
              </w:rPr>
              <w:t xml:space="preserve"> </w:t>
            </w:r>
            <w:r w:rsidRPr="0058650A">
              <w:rPr>
                <w:sz w:val="16"/>
                <w:szCs w:val="16"/>
              </w:rPr>
              <w:t>Au</w:t>
            </w:r>
            <w:r w:rsidRPr="0058650A">
              <w:rPr>
                <w:spacing w:val="-4"/>
                <w:sz w:val="16"/>
                <w:szCs w:val="16"/>
              </w:rPr>
              <w:t xml:space="preserve"> </w:t>
            </w:r>
            <w:r w:rsidRPr="0058650A">
              <w:rPr>
                <w:sz w:val="16"/>
                <w:szCs w:val="16"/>
              </w:rPr>
              <w:t>mineralisation</w:t>
            </w:r>
            <w:r w:rsidRPr="0058650A">
              <w:rPr>
                <w:spacing w:val="-3"/>
                <w:sz w:val="16"/>
                <w:szCs w:val="16"/>
              </w:rPr>
              <w:t xml:space="preserve"> </w:t>
            </w:r>
            <w:r w:rsidRPr="0058650A">
              <w:rPr>
                <w:sz w:val="16"/>
                <w:szCs w:val="16"/>
              </w:rPr>
              <w:t>and</w:t>
            </w:r>
            <w:r w:rsidRPr="0058650A">
              <w:rPr>
                <w:spacing w:val="-4"/>
                <w:sz w:val="16"/>
                <w:szCs w:val="16"/>
              </w:rPr>
              <w:t xml:space="preserve"> </w:t>
            </w:r>
            <w:r w:rsidRPr="0058650A">
              <w:rPr>
                <w:sz w:val="16"/>
                <w:szCs w:val="16"/>
              </w:rPr>
              <w:t>have</w:t>
            </w:r>
            <w:r w:rsidRPr="0058650A">
              <w:rPr>
                <w:spacing w:val="-3"/>
                <w:sz w:val="16"/>
                <w:szCs w:val="16"/>
              </w:rPr>
              <w:t xml:space="preserve"> </w:t>
            </w:r>
            <w:r w:rsidRPr="0058650A">
              <w:rPr>
                <w:sz w:val="16"/>
                <w:szCs w:val="16"/>
              </w:rPr>
              <w:t>moderate degree of correlation visually.</w:t>
            </w:r>
          </w:p>
          <w:p w14:paraId="02554549"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sz w:val="16"/>
                <w:szCs w:val="16"/>
              </w:rPr>
              <w:t>Jabal Shayban initial holes were drilled as confirmation of previous exploration campaigns</w:t>
            </w:r>
          </w:p>
        </w:tc>
      </w:tr>
      <w:tr w:rsidR="007847FD" w:rsidRPr="0058650A" w14:paraId="4FA96824" w14:textId="77777777" w:rsidTr="003B5B3F">
        <w:trPr>
          <w:trHeight w:val="143"/>
          <w:jc w:val="center"/>
        </w:trPr>
        <w:tc>
          <w:tcPr>
            <w:cnfStyle w:val="001000000000" w:firstRow="0" w:lastRow="0" w:firstColumn="1" w:lastColumn="0" w:oddVBand="0" w:evenVBand="0" w:oddHBand="0" w:evenHBand="0" w:firstRowFirstColumn="0" w:firstRowLastColumn="0" w:lastRowFirstColumn="0" w:lastRowLastColumn="0"/>
            <w:tcW w:w="1169" w:type="dxa"/>
          </w:tcPr>
          <w:p w14:paraId="3AC25696" w14:textId="77777777" w:rsidR="007847FD" w:rsidRPr="0058650A" w:rsidRDefault="007847FD" w:rsidP="003B5B3F">
            <w:pPr>
              <w:spacing w:after="120"/>
              <w:rPr>
                <w:b w:val="0"/>
                <w:i/>
                <w:sz w:val="16"/>
                <w:szCs w:val="16"/>
                <w:lang w:val="en-US"/>
              </w:rPr>
            </w:pPr>
            <w:r w:rsidRPr="0058650A">
              <w:rPr>
                <w:b w:val="0"/>
                <w:i/>
                <w:sz w:val="16"/>
                <w:szCs w:val="16"/>
                <w:lang w:val="en-US"/>
              </w:rPr>
              <w:t>Location of data points</w:t>
            </w:r>
          </w:p>
        </w:tc>
        <w:tc>
          <w:tcPr>
            <w:tcW w:w="5308" w:type="dxa"/>
          </w:tcPr>
          <w:p w14:paraId="4C8080B9"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Accuracy and quality of surveys used to locate drill holes (collar and down-hole surveys), trenches, mine workings and other locations used in Mineral Resource estimation.</w:t>
            </w:r>
          </w:p>
          <w:p w14:paraId="78D716F0"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Specification of the grid system used.</w:t>
            </w:r>
          </w:p>
          <w:p w14:paraId="6E97FE4E"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Quality and adequacy of topographic control.</w:t>
            </w:r>
          </w:p>
        </w:tc>
        <w:tc>
          <w:tcPr>
            <w:tcW w:w="5308" w:type="dxa"/>
          </w:tcPr>
          <w:p w14:paraId="5803DF9C"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sz w:val="16"/>
                <w:szCs w:val="16"/>
              </w:rPr>
            </w:pPr>
            <w:r w:rsidRPr="0058650A">
              <w:rPr>
                <w:sz w:val="16"/>
                <w:szCs w:val="16"/>
              </w:rPr>
              <w:t>Topographic survey was conducted in early 2024 using a Trimble R12i GNSS RTK.</w:t>
            </w:r>
          </w:p>
          <w:p w14:paraId="27A64575"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sz w:val="16"/>
                <w:szCs w:val="16"/>
              </w:rPr>
            </w:pPr>
            <w:r w:rsidRPr="0058650A">
              <w:rPr>
                <w:sz w:val="16"/>
                <w:szCs w:val="16"/>
              </w:rPr>
              <w:t>Collar surveys were conducted using an RTK Trimble device</w:t>
            </w:r>
          </w:p>
          <w:p w14:paraId="30C34E8E"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sz w:val="16"/>
                <w:szCs w:val="16"/>
              </w:rPr>
            </w:pPr>
            <w:r w:rsidRPr="0058650A">
              <w:rPr>
                <w:sz w:val="16"/>
                <w:szCs w:val="16"/>
              </w:rPr>
              <w:t>The coordinate system used for the Project is the Universal Transverse Mercator (“UTM”) projection (zones 37N) World Geodetic System 1984 (“WGS84”).</w:t>
            </w:r>
          </w:p>
        </w:tc>
      </w:tr>
      <w:tr w:rsidR="007847FD" w:rsidRPr="0058650A" w14:paraId="09B3D00A" w14:textId="77777777" w:rsidTr="003B5B3F">
        <w:trPr>
          <w:cnfStyle w:val="000000100000" w:firstRow="0" w:lastRow="0" w:firstColumn="0" w:lastColumn="0" w:oddVBand="0" w:evenVBand="0" w:oddHBand="1" w:evenHBand="0" w:firstRowFirstColumn="0" w:firstRowLastColumn="0" w:lastRowFirstColumn="0" w:lastRowLastColumn="0"/>
          <w:trHeight w:val="143"/>
          <w:jc w:val="center"/>
        </w:trPr>
        <w:tc>
          <w:tcPr>
            <w:cnfStyle w:val="001000000000" w:firstRow="0" w:lastRow="0" w:firstColumn="1" w:lastColumn="0" w:oddVBand="0" w:evenVBand="0" w:oddHBand="0" w:evenHBand="0" w:firstRowFirstColumn="0" w:firstRowLastColumn="0" w:lastRowFirstColumn="0" w:lastRowLastColumn="0"/>
            <w:tcW w:w="1169" w:type="dxa"/>
          </w:tcPr>
          <w:p w14:paraId="310CFCA7" w14:textId="77777777" w:rsidR="007847FD" w:rsidRPr="0058650A" w:rsidRDefault="007847FD" w:rsidP="003B5B3F">
            <w:pPr>
              <w:spacing w:after="120"/>
              <w:rPr>
                <w:b w:val="0"/>
                <w:i/>
                <w:sz w:val="16"/>
                <w:szCs w:val="16"/>
                <w:lang w:val="en-US"/>
              </w:rPr>
            </w:pPr>
            <w:r w:rsidRPr="0058650A">
              <w:rPr>
                <w:b w:val="0"/>
                <w:i/>
                <w:sz w:val="16"/>
                <w:szCs w:val="16"/>
                <w:lang w:val="en-US"/>
              </w:rPr>
              <w:t>Data spacing and distribution</w:t>
            </w:r>
          </w:p>
        </w:tc>
        <w:tc>
          <w:tcPr>
            <w:tcW w:w="5308" w:type="dxa"/>
          </w:tcPr>
          <w:p w14:paraId="5A4568C2"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Data spacing for reporting of Exploration Results.</w:t>
            </w:r>
          </w:p>
          <w:p w14:paraId="33D0CF5E"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Whether the data spacing and distribution is sufficient to establish the degree of geological and grade continuity appropriate for the Mineral Resource and Ore Reserve estimation procedure(s) and classifications applied.</w:t>
            </w:r>
          </w:p>
          <w:p w14:paraId="6CB00A69"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Whether sample compositing has been applied.</w:t>
            </w:r>
          </w:p>
        </w:tc>
        <w:tc>
          <w:tcPr>
            <w:tcW w:w="5308" w:type="dxa"/>
          </w:tcPr>
          <w:p w14:paraId="388C4000"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sz w:val="16"/>
                <w:szCs w:val="16"/>
              </w:rPr>
              <w:t>The</w:t>
            </w:r>
            <w:r w:rsidRPr="0058650A">
              <w:rPr>
                <w:spacing w:val="-4"/>
                <w:sz w:val="16"/>
                <w:szCs w:val="16"/>
              </w:rPr>
              <w:t xml:space="preserve"> </w:t>
            </w:r>
            <w:r w:rsidRPr="0058650A">
              <w:rPr>
                <w:sz w:val="16"/>
                <w:szCs w:val="16"/>
              </w:rPr>
              <w:t>holes</w:t>
            </w:r>
            <w:r w:rsidRPr="0058650A">
              <w:rPr>
                <w:spacing w:val="-3"/>
                <w:sz w:val="16"/>
                <w:szCs w:val="16"/>
              </w:rPr>
              <w:t xml:space="preserve"> </w:t>
            </w:r>
            <w:r w:rsidRPr="0058650A">
              <w:rPr>
                <w:sz w:val="16"/>
                <w:szCs w:val="16"/>
              </w:rPr>
              <w:t>have</w:t>
            </w:r>
            <w:r w:rsidRPr="0058650A">
              <w:rPr>
                <w:spacing w:val="-3"/>
                <w:sz w:val="16"/>
                <w:szCs w:val="16"/>
              </w:rPr>
              <w:t xml:space="preserve"> </w:t>
            </w:r>
            <w:r w:rsidRPr="0058650A">
              <w:rPr>
                <w:sz w:val="16"/>
                <w:szCs w:val="16"/>
              </w:rPr>
              <w:t>been</w:t>
            </w:r>
            <w:r w:rsidRPr="0058650A">
              <w:rPr>
                <w:spacing w:val="-3"/>
                <w:sz w:val="16"/>
                <w:szCs w:val="16"/>
              </w:rPr>
              <w:t xml:space="preserve"> </w:t>
            </w:r>
            <w:r w:rsidRPr="0058650A">
              <w:rPr>
                <w:sz w:val="16"/>
                <w:szCs w:val="16"/>
              </w:rPr>
              <w:t>drilled</w:t>
            </w:r>
            <w:r w:rsidRPr="0058650A">
              <w:rPr>
                <w:spacing w:val="-3"/>
                <w:sz w:val="16"/>
                <w:szCs w:val="16"/>
              </w:rPr>
              <w:t xml:space="preserve"> </w:t>
            </w:r>
            <w:r w:rsidRPr="0058650A">
              <w:rPr>
                <w:sz w:val="16"/>
                <w:szCs w:val="16"/>
              </w:rPr>
              <w:t>at</w:t>
            </w:r>
            <w:r w:rsidRPr="0058650A">
              <w:rPr>
                <w:spacing w:val="-3"/>
                <w:sz w:val="16"/>
                <w:szCs w:val="16"/>
              </w:rPr>
              <w:t xml:space="preserve"> </w:t>
            </w:r>
            <w:r w:rsidRPr="0058650A">
              <w:rPr>
                <w:sz w:val="16"/>
                <w:szCs w:val="16"/>
              </w:rPr>
              <w:t>a</w:t>
            </w:r>
            <w:r w:rsidRPr="0058650A">
              <w:rPr>
                <w:spacing w:val="-3"/>
                <w:sz w:val="16"/>
                <w:szCs w:val="16"/>
              </w:rPr>
              <w:t xml:space="preserve"> </w:t>
            </w:r>
            <w:r w:rsidRPr="0058650A">
              <w:rPr>
                <w:sz w:val="16"/>
                <w:szCs w:val="16"/>
              </w:rPr>
              <w:t>wide</w:t>
            </w:r>
            <w:r w:rsidRPr="0058650A">
              <w:rPr>
                <w:spacing w:val="-3"/>
                <w:sz w:val="16"/>
                <w:szCs w:val="16"/>
              </w:rPr>
              <w:t xml:space="preserve"> </w:t>
            </w:r>
            <w:r w:rsidRPr="0058650A">
              <w:rPr>
                <w:sz w:val="16"/>
                <w:szCs w:val="16"/>
              </w:rPr>
              <w:t>range</w:t>
            </w:r>
            <w:r w:rsidRPr="0058650A">
              <w:rPr>
                <w:spacing w:val="-3"/>
                <w:sz w:val="16"/>
                <w:szCs w:val="16"/>
              </w:rPr>
              <w:t xml:space="preserve"> </w:t>
            </w:r>
            <w:r w:rsidRPr="0058650A">
              <w:rPr>
                <w:sz w:val="16"/>
                <w:szCs w:val="16"/>
              </w:rPr>
              <w:t>of</w:t>
            </w:r>
            <w:r w:rsidRPr="0058650A">
              <w:rPr>
                <w:spacing w:val="-3"/>
                <w:sz w:val="16"/>
                <w:szCs w:val="16"/>
              </w:rPr>
              <w:t xml:space="preserve"> </w:t>
            </w:r>
            <w:r w:rsidRPr="0058650A">
              <w:rPr>
                <w:sz w:val="16"/>
                <w:szCs w:val="16"/>
              </w:rPr>
              <w:t>orientations</w:t>
            </w:r>
            <w:r w:rsidRPr="0058650A">
              <w:rPr>
                <w:spacing w:val="-3"/>
                <w:sz w:val="16"/>
                <w:szCs w:val="16"/>
              </w:rPr>
              <w:t xml:space="preserve"> </w:t>
            </w:r>
            <w:r w:rsidRPr="0058650A">
              <w:rPr>
                <w:sz w:val="16"/>
                <w:szCs w:val="16"/>
              </w:rPr>
              <w:t>and</w:t>
            </w:r>
            <w:r w:rsidRPr="0058650A">
              <w:rPr>
                <w:spacing w:val="-3"/>
                <w:sz w:val="16"/>
                <w:szCs w:val="16"/>
              </w:rPr>
              <w:t xml:space="preserve"> </w:t>
            </w:r>
            <w:r w:rsidRPr="0058650A">
              <w:rPr>
                <w:sz w:val="16"/>
                <w:szCs w:val="16"/>
              </w:rPr>
              <w:t xml:space="preserve">spacings as exploration holes at this stage in Wadi Al Jaw, no regular grids chosen at the time of this declaration. </w:t>
            </w:r>
          </w:p>
          <w:p w14:paraId="77802261"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sz w:val="16"/>
                <w:szCs w:val="16"/>
              </w:rPr>
              <w:t xml:space="preserve">Drilling in Jabal Shayban started with twining of historical holes and then step out to extend the mineralization along strike. </w:t>
            </w:r>
          </w:p>
        </w:tc>
      </w:tr>
      <w:tr w:rsidR="007847FD" w:rsidRPr="0058650A" w14:paraId="76E6A659" w14:textId="77777777" w:rsidTr="003B5B3F">
        <w:trPr>
          <w:trHeight w:val="143"/>
          <w:jc w:val="center"/>
        </w:trPr>
        <w:tc>
          <w:tcPr>
            <w:cnfStyle w:val="001000000000" w:firstRow="0" w:lastRow="0" w:firstColumn="1" w:lastColumn="0" w:oddVBand="0" w:evenVBand="0" w:oddHBand="0" w:evenHBand="0" w:firstRowFirstColumn="0" w:firstRowLastColumn="0" w:lastRowFirstColumn="0" w:lastRowLastColumn="0"/>
            <w:tcW w:w="1169" w:type="dxa"/>
          </w:tcPr>
          <w:p w14:paraId="5240B938" w14:textId="77777777" w:rsidR="007847FD" w:rsidRPr="0058650A" w:rsidRDefault="007847FD" w:rsidP="003B5B3F">
            <w:pPr>
              <w:spacing w:after="120"/>
              <w:rPr>
                <w:b w:val="0"/>
                <w:i/>
                <w:sz w:val="16"/>
                <w:szCs w:val="16"/>
                <w:lang w:val="en-US"/>
              </w:rPr>
            </w:pPr>
            <w:r w:rsidRPr="0058650A">
              <w:rPr>
                <w:b w:val="0"/>
                <w:i/>
                <w:sz w:val="16"/>
                <w:szCs w:val="16"/>
                <w:lang w:val="en-US"/>
              </w:rPr>
              <w:t>Orientation of data in relation to geological structure</w:t>
            </w:r>
          </w:p>
        </w:tc>
        <w:tc>
          <w:tcPr>
            <w:tcW w:w="5308" w:type="dxa"/>
          </w:tcPr>
          <w:p w14:paraId="180E6BEB"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Whether the orientation of sampling achieves unbiased sampling of possible structures and the extent to which this is known, considering the deposit type.</w:t>
            </w:r>
          </w:p>
          <w:p w14:paraId="7C4ED04A"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If the relationship between the drilling orientation and the orientation of key mineralised structures is considered to have introduced a sampling bias, this should be assessed and reported if material.</w:t>
            </w:r>
          </w:p>
        </w:tc>
        <w:tc>
          <w:tcPr>
            <w:tcW w:w="5308" w:type="dxa"/>
          </w:tcPr>
          <w:p w14:paraId="76999061"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At Wadi Al Jaww, holes drilled at 305 and 340 azimuth and at 50 degrees inclination</w:t>
            </w:r>
          </w:p>
          <w:p w14:paraId="7C44CFD9"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Jabal Shayban holes are drilled in multiple direction with first 5 holes primarily targeting historical reported intersections. See table for details on orientation of the holes</w:t>
            </w:r>
          </w:p>
        </w:tc>
      </w:tr>
      <w:tr w:rsidR="007847FD" w:rsidRPr="0058650A" w14:paraId="39A85C0E" w14:textId="77777777" w:rsidTr="003B5B3F">
        <w:trPr>
          <w:cnfStyle w:val="000000100000" w:firstRow="0" w:lastRow="0" w:firstColumn="0" w:lastColumn="0" w:oddVBand="0" w:evenVBand="0" w:oddHBand="1" w:evenHBand="0" w:firstRowFirstColumn="0" w:firstRowLastColumn="0" w:lastRowFirstColumn="0" w:lastRowLastColumn="0"/>
          <w:trHeight w:val="143"/>
          <w:jc w:val="center"/>
        </w:trPr>
        <w:tc>
          <w:tcPr>
            <w:cnfStyle w:val="001000000000" w:firstRow="0" w:lastRow="0" w:firstColumn="1" w:lastColumn="0" w:oddVBand="0" w:evenVBand="0" w:oddHBand="0" w:evenHBand="0" w:firstRowFirstColumn="0" w:firstRowLastColumn="0" w:lastRowFirstColumn="0" w:lastRowLastColumn="0"/>
            <w:tcW w:w="1169" w:type="dxa"/>
          </w:tcPr>
          <w:p w14:paraId="0988A18A" w14:textId="77777777" w:rsidR="007847FD" w:rsidRPr="0058650A" w:rsidRDefault="007847FD" w:rsidP="003B5B3F">
            <w:pPr>
              <w:spacing w:after="120"/>
              <w:rPr>
                <w:b w:val="0"/>
                <w:i/>
                <w:sz w:val="16"/>
                <w:szCs w:val="16"/>
                <w:lang w:val="en-US"/>
              </w:rPr>
            </w:pPr>
            <w:r w:rsidRPr="0058650A">
              <w:rPr>
                <w:b w:val="0"/>
                <w:i/>
                <w:sz w:val="16"/>
                <w:szCs w:val="16"/>
                <w:lang w:val="en-US"/>
              </w:rPr>
              <w:t>Sample security</w:t>
            </w:r>
          </w:p>
        </w:tc>
        <w:tc>
          <w:tcPr>
            <w:tcW w:w="5308" w:type="dxa"/>
          </w:tcPr>
          <w:p w14:paraId="59A9F2B0"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The measures taken to ensure sample security.</w:t>
            </w:r>
          </w:p>
        </w:tc>
        <w:tc>
          <w:tcPr>
            <w:tcW w:w="5308" w:type="dxa"/>
          </w:tcPr>
          <w:p w14:paraId="67D035AF"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sz w:val="16"/>
                <w:szCs w:val="16"/>
              </w:rPr>
              <w:t>Sample</w:t>
            </w:r>
            <w:r w:rsidRPr="0058650A">
              <w:rPr>
                <w:spacing w:val="-4"/>
                <w:sz w:val="16"/>
                <w:szCs w:val="16"/>
              </w:rPr>
              <w:t xml:space="preserve"> </w:t>
            </w:r>
            <w:r w:rsidRPr="0058650A">
              <w:rPr>
                <w:sz w:val="16"/>
                <w:szCs w:val="16"/>
              </w:rPr>
              <w:t>security</w:t>
            </w:r>
            <w:r w:rsidRPr="0058650A">
              <w:rPr>
                <w:spacing w:val="-4"/>
                <w:sz w:val="16"/>
                <w:szCs w:val="16"/>
              </w:rPr>
              <w:t xml:space="preserve"> </w:t>
            </w:r>
            <w:r w:rsidRPr="0058650A">
              <w:rPr>
                <w:sz w:val="16"/>
                <w:szCs w:val="16"/>
              </w:rPr>
              <w:t>protocols</w:t>
            </w:r>
            <w:r w:rsidRPr="0058650A">
              <w:rPr>
                <w:spacing w:val="-4"/>
                <w:sz w:val="16"/>
                <w:szCs w:val="16"/>
              </w:rPr>
              <w:t xml:space="preserve"> </w:t>
            </w:r>
            <w:r w:rsidRPr="0058650A">
              <w:rPr>
                <w:sz w:val="16"/>
                <w:szCs w:val="16"/>
              </w:rPr>
              <w:t>are chain of custody procedures for samples for Wadi Al Jaww and Shayban are as based on the Ma’aden’ s R&amp;R1 Manual</w:t>
            </w:r>
          </w:p>
        </w:tc>
      </w:tr>
      <w:tr w:rsidR="007847FD" w:rsidRPr="0058650A" w14:paraId="430DAEE0" w14:textId="77777777" w:rsidTr="003B5B3F">
        <w:trPr>
          <w:trHeight w:val="582"/>
          <w:jc w:val="center"/>
        </w:trPr>
        <w:tc>
          <w:tcPr>
            <w:cnfStyle w:val="001000000000" w:firstRow="0" w:lastRow="0" w:firstColumn="1" w:lastColumn="0" w:oddVBand="0" w:evenVBand="0" w:oddHBand="0" w:evenHBand="0" w:firstRowFirstColumn="0" w:firstRowLastColumn="0" w:lastRowFirstColumn="0" w:lastRowLastColumn="0"/>
            <w:tcW w:w="1169" w:type="dxa"/>
          </w:tcPr>
          <w:p w14:paraId="0AE06AFE" w14:textId="77777777" w:rsidR="007847FD" w:rsidRPr="0058650A" w:rsidRDefault="007847FD" w:rsidP="003B5B3F">
            <w:pPr>
              <w:spacing w:after="120"/>
              <w:rPr>
                <w:b w:val="0"/>
                <w:i/>
                <w:sz w:val="16"/>
                <w:szCs w:val="16"/>
                <w:lang w:val="en-US"/>
              </w:rPr>
            </w:pPr>
            <w:r w:rsidRPr="0058650A">
              <w:rPr>
                <w:b w:val="0"/>
                <w:i/>
                <w:sz w:val="16"/>
                <w:szCs w:val="16"/>
                <w:lang w:val="en-US"/>
              </w:rPr>
              <w:t>Audits or reviews</w:t>
            </w:r>
          </w:p>
        </w:tc>
        <w:tc>
          <w:tcPr>
            <w:tcW w:w="5308" w:type="dxa"/>
          </w:tcPr>
          <w:p w14:paraId="5E7546F2"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The results of any audits or reviews of sampling techniques and data.</w:t>
            </w:r>
          </w:p>
        </w:tc>
        <w:tc>
          <w:tcPr>
            <w:tcW w:w="5308" w:type="dxa"/>
          </w:tcPr>
          <w:p w14:paraId="542FA65A"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No independent review has been completed yet in both Wadi Al Jaww and Jabal Shayban</w:t>
            </w:r>
          </w:p>
        </w:tc>
      </w:tr>
    </w:tbl>
    <w:p w14:paraId="7EFA9B97" w14:textId="77777777" w:rsidR="007847FD" w:rsidRDefault="007847FD" w:rsidP="007847FD">
      <w:pPr>
        <w:pStyle w:val="Heading2"/>
        <w:rPr>
          <w:lang w:val="en-US"/>
        </w:rPr>
      </w:pPr>
    </w:p>
    <w:p w14:paraId="6F2FF659" w14:textId="77777777" w:rsidR="007847FD" w:rsidRPr="00C63B2B" w:rsidRDefault="007847FD" w:rsidP="007847FD">
      <w:pPr>
        <w:pStyle w:val="Heading2"/>
        <w:rPr>
          <w:lang w:val="en-US"/>
        </w:rPr>
      </w:pPr>
      <w:r w:rsidRPr="00C63B2B">
        <w:rPr>
          <w:lang w:val="en-US"/>
        </w:rPr>
        <w:t>Section 2 Reporting of Exploration Results</w:t>
      </w:r>
    </w:p>
    <w:p w14:paraId="1E0AB656" w14:textId="77777777" w:rsidR="007847FD" w:rsidRDefault="007847FD" w:rsidP="007847FD">
      <w:pPr>
        <w:keepNext/>
        <w:rPr>
          <w:lang w:val="en-US"/>
        </w:rPr>
      </w:pPr>
      <w:r w:rsidRPr="00C63B2B">
        <w:rPr>
          <w:lang w:val="en-US"/>
        </w:rPr>
        <w:t>(Criteria listed in the preceding section also apply to this section.)</w:t>
      </w:r>
    </w:p>
    <w:tbl>
      <w:tblPr>
        <w:tblStyle w:val="LightList-Accent1"/>
        <w:tblW w:w="11098" w:type="dxa"/>
        <w:jc w:val="center"/>
        <w:tblLayout w:type="fixed"/>
        <w:tblLook w:val="04A0" w:firstRow="1" w:lastRow="0" w:firstColumn="1" w:lastColumn="0" w:noHBand="0" w:noVBand="1"/>
      </w:tblPr>
      <w:tblGrid>
        <w:gridCol w:w="1100"/>
        <w:gridCol w:w="4999"/>
        <w:gridCol w:w="4999"/>
      </w:tblGrid>
      <w:tr w:rsidR="007847FD" w:rsidRPr="0058650A" w14:paraId="45B5529B" w14:textId="77777777" w:rsidTr="003B5B3F">
        <w:trPr>
          <w:cnfStyle w:val="100000000000" w:firstRow="1" w:lastRow="0" w:firstColumn="0" w:lastColumn="0" w:oddVBand="0" w:evenVBand="0" w:oddHBand="0" w:evenHBand="0" w:firstRowFirstColumn="0" w:firstRowLastColumn="0" w:lastRowFirstColumn="0" w:lastRowLastColumn="0"/>
          <w:trHeight w:val="338"/>
          <w:tblHeader/>
          <w:jc w:val="center"/>
        </w:trPr>
        <w:tc>
          <w:tcPr>
            <w:cnfStyle w:val="001000000000" w:firstRow="0" w:lastRow="0" w:firstColumn="1" w:lastColumn="0" w:oddVBand="0" w:evenVBand="0" w:oddHBand="0" w:evenHBand="0" w:firstRowFirstColumn="0" w:firstRowLastColumn="0" w:lastRowFirstColumn="0" w:lastRowLastColumn="0"/>
            <w:tcW w:w="1100" w:type="dxa"/>
          </w:tcPr>
          <w:p w14:paraId="1C01BA6A" w14:textId="77777777" w:rsidR="007847FD" w:rsidRPr="0058650A" w:rsidRDefault="007847FD" w:rsidP="003B5B3F">
            <w:pPr>
              <w:spacing w:after="120"/>
              <w:rPr>
                <w:sz w:val="16"/>
                <w:szCs w:val="16"/>
                <w:lang w:val="en-US"/>
              </w:rPr>
            </w:pPr>
            <w:r w:rsidRPr="0058650A">
              <w:rPr>
                <w:sz w:val="16"/>
                <w:szCs w:val="16"/>
                <w:lang w:val="en-US"/>
              </w:rPr>
              <w:t>Criteria</w:t>
            </w:r>
          </w:p>
        </w:tc>
        <w:tc>
          <w:tcPr>
            <w:tcW w:w="4999" w:type="dxa"/>
          </w:tcPr>
          <w:p w14:paraId="09593EB1" w14:textId="77777777" w:rsidR="007847FD" w:rsidRPr="0058650A" w:rsidRDefault="007847FD" w:rsidP="003B5B3F">
            <w:pPr>
              <w:spacing w:after="120"/>
              <w:cnfStyle w:val="100000000000" w:firstRow="1" w:lastRow="0" w:firstColumn="0" w:lastColumn="0" w:oddVBand="0" w:evenVBand="0" w:oddHBand="0" w:evenHBand="0" w:firstRowFirstColumn="0" w:firstRowLastColumn="0" w:lastRowFirstColumn="0" w:lastRowLastColumn="0"/>
              <w:rPr>
                <w:sz w:val="16"/>
                <w:szCs w:val="16"/>
                <w:lang w:val="en-US"/>
              </w:rPr>
            </w:pPr>
            <w:r w:rsidRPr="0058650A">
              <w:rPr>
                <w:sz w:val="16"/>
                <w:szCs w:val="16"/>
                <w:lang w:val="en-US"/>
              </w:rPr>
              <w:t>JORC Code explanation</w:t>
            </w:r>
          </w:p>
        </w:tc>
        <w:tc>
          <w:tcPr>
            <w:tcW w:w="4999" w:type="dxa"/>
          </w:tcPr>
          <w:p w14:paraId="3FC6B909" w14:textId="77777777" w:rsidR="007847FD" w:rsidRPr="0058650A" w:rsidRDefault="007847FD" w:rsidP="003B5B3F">
            <w:pPr>
              <w:spacing w:after="120"/>
              <w:cnfStyle w:val="100000000000" w:firstRow="1" w:lastRow="0" w:firstColumn="0" w:lastColumn="0" w:oddVBand="0" w:evenVBand="0" w:oddHBand="0" w:evenHBand="0" w:firstRowFirstColumn="0" w:firstRowLastColumn="0" w:lastRowFirstColumn="0" w:lastRowLastColumn="0"/>
              <w:rPr>
                <w:sz w:val="16"/>
                <w:szCs w:val="16"/>
                <w:lang w:val="en-US"/>
              </w:rPr>
            </w:pPr>
            <w:r w:rsidRPr="0058650A">
              <w:rPr>
                <w:sz w:val="16"/>
                <w:szCs w:val="16"/>
                <w:lang w:val="en-US"/>
              </w:rPr>
              <w:t>Commentary</w:t>
            </w:r>
          </w:p>
        </w:tc>
      </w:tr>
      <w:tr w:rsidR="007847FD" w:rsidRPr="0058650A" w14:paraId="1A8F3E0F" w14:textId="77777777" w:rsidTr="003B5B3F">
        <w:trPr>
          <w:cnfStyle w:val="000000100000" w:firstRow="0" w:lastRow="0" w:firstColumn="0" w:lastColumn="0" w:oddVBand="0" w:evenVBand="0" w:oddHBand="1" w:evenHBand="0" w:firstRowFirstColumn="0" w:firstRowLastColumn="0" w:lastRowFirstColumn="0" w:lastRowLastColumn="0"/>
          <w:trHeight w:val="458"/>
          <w:jc w:val="center"/>
        </w:trPr>
        <w:tc>
          <w:tcPr>
            <w:cnfStyle w:val="001000000000" w:firstRow="0" w:lastRow="0" w:firstColumn="1" w:lastColumn="0" w:oddVBand="0" w:evenVBand="0" w:oddHBand="0" w:evenHBand="0" w:firstRowFirstColumn="0" w:firstRowLastColumn="0" w:lastRowFirstColumn="0" w:lastRowLastColumn="0"/>
            <w:tcW w:w="1100" w:type="dxa"/>
          </w:tcPr>
          <w:p w14:paraId="582ED0F6" w14:textId="77777777" w:rsidR="007847FD" w:rsidRPr="0058650A" w:rsidRDefault="007847FD" w:rsidP="003B5B3F">
            <w:pPr>
              <w:spacing w:after="120"/>
              <w:rPr>
                <w:b w:val="0"/>
                <w:sz w:val="16"/>
                <w:szCs w:val="16"/>
                <w:lang w:val="en-US"/>
              </w:rPr>
            </w:pPr>
            <w:r w:rsidRPr="0058650A">
              <w:rPr>
                <w:b w:val="0"/>
                <w:i/>
                <w:sz w:val="16"/>
                <w:szCs w:val="16"/>
                <w:lang w:val="en-US"/>
              </w:rPr>
              <w:t>Mineral tenement and land tenure status</w:t>
            </w:r>
          </w:p>
        </w:tc>
        <w:tc>
          <w:tcPr>
            <w:tcW w:w="4999" w:type="dxa"/>
          </w:tcPr>
          <w:p w14:paraId="1713403E"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Type, reference name/number, location and ownership including agreements or material issues with third parties such as joint ventures, partnerships, overriding royalties, native title interests, historical sites, wilderness or national park and environmental settings.</w:t>
            </w:r>
          </w:p>
          <w:p w14:paraId="589439F4"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The security of the tenure held at the time of reporting along with any known impediments to obtaining a licence to operate in the area.</w:t>
            </w:r>
          </w:p>
        </w:tc>
        <w:tc>
          <w:tcPr>
            <w:tcW w:w="4999" w:type="dxa"/>
          </w:tcPr>
          <w:p w14:paraId="49801EA8"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The Wadi Al Jaww and Jabal Shayban deposit is owned by ERD, which is a wholly owned subsidiary of Ma’aden.</w:t>
            </w:r>
          </w:p>
          <w:p w14:paraId="5324E4C7" w14:textId="77777777" w:rsidR="007847FD" w:rsidRPr="0058650A" w:rsidRDefault="007847FD" w:rsidP="003B5B3F">
            <w:pPr>
              <w:pStyle w:val="TableParagraph"/>
              <w:cnfStyle w:val="000000100000" w:firstRow="0" w:lastRow="0" w:firstColumn="0" w:lastColumn="0" w:oddVBand="0" w:evenVBand="0" w:oddHBand="1" w:evenHBand="0" w:firstRowFirstColumn="0" w:firstRowLastColumn="0" w:lastRowFirstColumn="0" w:lastRowLastColumn="0"/>
              <w:rPr>
                <w:sz w:val="16"/>
                <w:szCs w:val="16"/>
              </w:rPr>
            </w:pPr>
            <w:r w:rsidRPr="0BA43517">
              <w:rPr>
                <w:sz w:val="16"/>
                <w:szCs w:val="16"/>
              </w:rPr>
              <w:t xml:space="preserve">The Project areas are geographically located in Western Saudi Arabia, approximately </w:t>
            </w:r>
            <w:r w:rsidRPr="0058650A">
              <w:rPr>
                <w:sz w:val="16"/>
                <w:szCs w:val="16"/>
              </w:rPr>
              <w:t xml:space="preserve">140 km by road northeast of Jeddah, and about 50 km </w:t>
            </w:r>
            <w:proofErr w:type="gramStart"/>
            <w:r w:rsidRPr="0058650A">
              <w:rPr>
                <w:sz w:val="16"/>
                <w:szCs w:val="16"/>
              </w:rPr>
              <w:t>North east</w:t>
            </w:r>
            <w:proofErr w:type="gramEnd"/>
            <w:r w:rsidRPr="0058650A">
              <w:rPr>
                <w:sz w:val="16"/>
                <w:szCs w:val="16"/>
              </w:rPr>
              <w:t xml:space="preserve"> of Khulays (town).</w:t>
            </w:r>
          </w:p>
          <w:p w14:paraId="496986A7"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The deposits area is covered by two exploration licence (“EL”), named Shyaban_06 (Jabal Shayban) and Shayban_07 (Wadi Al Jaww), these ELs covers a combined area of 200 km2. </w:t>
            </w:r>
          </w:p>
          <w:p w14:paraId="705F7EC5"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Licenses were granted in July 2022 and will run for 5 years in its first term until July 2027 with options for renewal for another 5 years. </w:t>
            </w:r>
          </w:p>
        </w:tc>
      </w:tr>
      <w:tr w:rsidR="007847FD" w:rsidRPr="0058650A" w14:paraId="075E92A4" w14:textId="77777777" w:rsidTr="003B5B3F">
        <w:trPr>
          <w:trHeight w:val="139"/>
          <w:jc w:val="center"/>
        </w:trPr>
        <w:tc>
          <w:tcPr>
            <w:cnfStyle w:val="001000000000" w:firstRow="0" w:lastRow="0" w:firstColumn="1" w:lastColumn="0" w:oddVBand="0" w:evenVBand="0" w:oddHBand="0" w:evenHBand="0" w:firstRowFirstColumn="0" w:firstRowLastColumn="0" w:lastRowFirstColumn="0" w:lastRowLastColumn="0"/>
            <w:tcW w:w="1100" w:type="dxa"/>
          </w:tcPr>
          <w:p w14:paraId="044C8DE9" w14:textId="77777777" w:rsidR="007847FD" w:rsidRPr="0058650A" w:rsidRDefault="007847FD" w:rsidP="003B5B3F">
            <w:pPr>
              <w:spacing w:after="120"/>
              <w:rPr>
                <w:b w:val="0"/>
                <w:sz w:val="16"/>
                <w:szCs w:val="16"/>
                <w:lang w:val="en-US"/>
              </w:rPr>
            </w:pPr>
            <w:r w:rsidRPr="0058650A">
              <w:rPr>
                <w:b w:val="0"/>
                <w:i/>
                <w:sz w:val="16"/>
                <w:szCs w:val="16"/>
                <w:lang w:val="en-US"/>
              </w:rPr>
              <w:t>Exploration done by other parties</w:t>
            </w:r>
          </w:p>
        </w:tc>
        <w:tc>
          <w:tcPr>
            <w:tcW w:w="4999" w:type="dxa"/>
          </w:tcPr>
          <w:p w14:paraId="07ECC990"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Acknowledgment and appraisal of exploration by other parties.</w:t>
            </w:r>
          </w:p>
        </w:tc>
        <w:tc>
          <w:tcPr>
            <w:tcW w:w="4999" w:type="dxa"/>
          </w:tcPr>
          <w:p w14:paraId="21FD4958"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Calibri"/>
                <w:sz w:val="16"/>
                <w:szCs w:val="16"/>
              </w:rPr>
              <w:t>The Jabal Shayban prospect was studied by different companies from year 1940, and 1980’s DMMR completed regional studies between 1992 – 1994 (BRGM and DMMR; BRGM-TR-15-3)</w:t>
            </w:r>
          </w:p>
          <w:p w14:paraId="0CF37902"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 xml:space="preserve">All drilling information prior to 2022 has not been through the same quality control and processes and in Maaden workflow and uncertainties exist in respect to the survey (collar, dip, azimuth) and the assays methodology. </w:t>
            </w:r>
          </w:p>
          <w:p w14:paraId="7375F281" w14:textId="77777777" w:rsidR="007847FD"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Selected historical holes have been twinned Maaden in Jabal Shayban to confirm to establish confidence in continues work.</w:t>
            </w:r>
          </w:p>
          <w:p w14:paraId="0EE52239"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 xml:space="preserve">There has been no previous works on Wadi Al Jaww target, all recent information </w:t>
            </w:r>
            <w:r w:rsidRPr="2D91110A">
              <w:rPr>
                <w:rFonts w:cs="Arial"/>
                <w:sz w:val="16"/>
                <w:szCs w:val="16"/>
              </w:rPr>
              <w:t>is</w:t>
            </w:r>
            <w:r>
              <w:rPr>
                <w:rFonts w:cs="Arial"/>
                <w:sz w:val="16"/>
                <w:szCs w:val="16"/>
              </w:rPr>
              <w:t xml:space="preserve"> all done by Maaden exploration from stream, sediments, rock chips sample, channel sampling and geological mapping. </w:t>
            </w:r>
          </w:p>
        </w:tc>
      </w:tr>
      <w:tr w:rsidR="007847FD" w:rsidRPr="0058650A" w14:paraId="4CF498A9" w14:textId="77777777" w:rsidTr="003B5B3F">
        <w:trPr>
          <w:cnfStyle w:val="000000100000" w:firstRow="0" w:lastRow="0" w:firstColumn="0" w:lastColumn="0" w:oddVBand="0" w:evenVBand="0" w:oddHBand="1"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100" w:type="dxa"/>
          </w:tcPr>
          <w:p w14:paraId="522C5E51" w14:textId="77777777" w:rsidR="007847FD" w:rsidRPr="0058650A" w:rsidRDefault="007847FD" w:rsidP="003B5B3F">
            <w:pPr>
              <w:spacing w:after="120"/>
              <w:rPr>
                <w:b w:val="0"/>
                <w:sz w:val="16"/>
                <w:szCs w:val="16"/>
                <w:lang w:val="en-US"/>
              </w:rPr>
            </w:pPr>
            <w:r w:rsidRPr="0058650A">
              <w:rPr>
                <w:b w:val="0"/>
                <w:i/>
                <w:sz w:val="16"/>
                <w:szCs w:val="16"/>
                <w:lang w:val="en-US"/>
              </w:rPr>
              <w:t>Geology</w:t>
            </w:r>
          </w:p>
        </w:tc>
        <w:tc>
          <w:tcPr>
            <w:tcW w:w="4999" w:type="dxa"/>
          </w:tcPr>
          <w:p w14:paraId="0B2B20DF"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Deposit type, geological setting and style of mineralisation.</w:t>
            </w:r>
          </w:p>
        </w:tc>
        <w:tc>
          <w:tcPr>
            <w:tcW w:w="4999" w:type="dxa"/>
          </w:tcPr>
          <w:p w14:paraId="1098BD84"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lang w:val="en-US"/>
              </w:rPr>
            </w:pPr>
            <w:r w:rsidRPr="0058650A">
              <w:rPr>
                <w:rFonts w:cs="Arial"/>
                <w:sz w:val="16"/>
                <w:szCs w:val="16"/>
                <w:lang w:val="en-US"/>
              </w:rPr>
              <w:t>The Shayban formation, or lower volcanic unit of Samran group, comprising lithologies of variable schistose mafic &amp; felsic lavas and volcaniclastics &amp; associated epiclastics. minor marble, chert, quartzites, argillite and graywacke.</w:t>
            </w:r>
          </w:p>
          <w:p w14:paraId="4EAB34C3"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lang w:val="en-US"/>
              </w:rPr>
            </w:pPr>
            <w:r w:rsidRPr="0058650A">
              <w:rPr>
                <w:rFonts w:cs="Arial"/>
                <w:sz w:val="16"/>
                <w:szCs w:val="16"/>
                <w:lang w:val="en-US"/>
              </w:rPr>
              <w:t>Intrusives of the Kamil Suite-multi-phase intrusive comprising hornblende-biotite tonalite, trondhjemite &amp; granodiorite/diorite rocks.</w:t>
            </w:r>
          </w:p>
          <w:p w14:paraId="19140571"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lang w:val="en-US"/>
              </w:rPr>
              <w:t>The Samran – Shayban area is structurally complex and dominated by north – northeast to northeast trending bedding, foliation, faults, shear zones, and folds, which make structural domain referred to, the Samran-Shayban fold-thrust belt.</w:t>
            </w:r>
          </w:p>
          <w:p w14:paraId="30218968" w14:textId="77777777" w:rsidR="007847FD" w:rsidRPr="00EA7A17"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sz w:val="16"/>
                <w:szCs w:val="16"/>
              </w:rPr>
              <w:t>The rocks in the Shayban area comprise a series of weakly metamorphosed, submarine, felsic to intermediate volcano-clastic rocks, with subordinate chert and limestone/ marble horizons, which are interpreted as forming the proximal and distal facies of two paleo-stratovolcanoes that correspond to the upper and lower Shayban successions. The volcano-sedimentary rocks are intruded by a younger suite of quartz-diorites and younger suite of adamellite, granodiorite and syenite intrusive</w:t>
            </w:r>
          </w:p>
          <w:p w14:paraId="11A12DF4" w14:textId="77777777" w:rsidR="007847FD" w:rsidRPr="00EA7A17"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lang w:val="en-US"/>
              </w:rPr>
            </w:pPr>
            <w:r w:rsidRPr="00EA7A17">
              <w:rPr>
                <w:rFonts w:cs="Arial"/>
                <w:sz w:val="16"/>
                <w:szCs w:val="16"/>
                <w:lang w:val="en-US"/>
              </w:rPr>
              <w:t>Wadi Al Jaww is underlain by intrusions of the Al Kamil Suite and volcanic and volcaniclastic rocs of the Shayban Formation.​Various alteration assemblages (propylitic, potassic, weak sericite-chlorite, silica, and carbonate alterations) are present.​​</w:t>
            </w:r>
          </w:p>
          <w:p w14:paraId="6F6CB4F1" w14:textId="77777777" w:rsidR="007847FD" w:rsidRPr="00EA7A17"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lang w:val="en-US"/>
              </w:rPr>
            </w:pPr>
            <w:r w:rsidRPr="2D91110A">
              <w:rPr>
                <w:rFonts w:cs="Arial"/>
                <w:sz w:val="16"/>
                <w:szCs w:val="16"/>
                <w:lang w:val="en-US"/>
              </w:rPr>
              <w:t>Sheeted</w:t>
            </w:r>
            <w:r w:rsidRPr="00EA7A17">
              <w:rPr>
                <w:rFonts w:cs="Arial"/>
                <w:sz w:val="16"/>
                <w:szCs w:val="16"/>
                <w:lang w:val="en-US"/>
              </w:rPr>
              <w:t xml:space="preserve"> chalcopyrite ± quartz veins form discrete domains separated by areas of fewer veins. Overall, the hydrothermal system is characterized by low sulfur contents.</w:t>
            </w:r>
          </w:p>
          <w:p w14:paraId="38667072" w14:textId="77777777" w:rsidR="007847FD" w:rsidRPr="0058650A" w:rsidRDefault="007847FD" w:rsidP="003B5B3F">
            <w:pPr>
              <w:pStyle w:val="ListParagraph"/>
              <w:widowControl w:val="0"/>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847FD" w:rsidRPr="0058650A" w14:paraId="2C14B6F5" w14:textId="77777777" w:rsidTr="003B5B3F">
        <w:trPr>
          <w:trHeight w:val="139"/>
          <w:jc w:val="center"/>
        </w:trPr>
        <w:tc>
          <w:tcPr>
            <w:cnfStyle w:val="001000000000" w:firstRow="0" w:lastRow="0" w:firstColumn="1" w:lastColumn="0" w:oddVBand="0" w:evenVBand="0" w:oddHBand="0" w:evenHBand="0" w:firstRowFirstColumn="0" w:firstRowLastColumn="0" w:lastRowFirstColumn="0" w:lastRowLastColumn="0"/>
            <w:tcW w:w="1100" w:type="dxa"/>
          </w:tcPr>
          <w:p w14:paraId="5E915DAA" w14:textId="77777777" w:rsidR="007847FD" w:rsidRPr="0058650A" w:rsidRDefault="007847FD" w:rsidP="003B5B3F">
            <w:pPr>
              <w:spacing w:after="120"/>
              <w:rPr>
                <w:b w:val="0"/>
                <w:sz w:val="16"/>
                <w:szCs w:val="16"/>
                <w:lang w:val="en-US"/>
              </w:rPr>
            </w:pPr>
            <w:r w:rsidRPr="0058650A">
              <w:rPr>
                <w:b w:val="0"/>
                <w:i/>
                <w:sz w:val="16"/>
                <w:szCs w:val="16"/>
                <w:lang w:val="en-US"/>
              </w:rPr>
              <w:lastRenderedPageBreak/>
              <w:t>Drill hole Information</w:t>
            </w:r>
          </w:p>
        </w:tc>
        <w:tc>
          <w:tcPr>
            <w:tcW w:w="4999" w:type="dxa"/>
          </w:tcPr>
          <w:p w14:paraId="09C32D89"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A summary of all information material to the understanding of the exploration results including a tabulation of the following information for all Material drill holes:</w:t>
            </w:r>
          </w:p>
          <w:p w14:paraId="1FB68E07" w14:textId="77777777" w:rsidR="007847FD" w:rsidRPr="0058650A" w:rsidRDefault="007847FD" w:rsidP="003B5B3F">
            <w:pPr>
              <w:pStyle w:val="ListParagraph"/>
              <w:widowControl w:val="0"/>
              <w:numPr>
                <w:ilvl w:val="1"/>
                <w:numId w:val="1"/>
              </w:numPr>
              <w:spacing w:after="120"/>
              <w:ind w:left="568"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easting and northing of the drill hole collar</w:t>
            </w:r>
          </w:p>
          <w:p w14:paraId="3973714B" w14:textId="77777777" w:rsidR="007847FD" w:rsidRPr="0058650A" w:rsidRDefault="007847FD" w:rsidP="003B5B3F">
            <w:pPr>
              <w:pStyle w:val="ListParagraph"/>
              <w:widowControl w:val="0"/>
              <w:numPr>
                <w:ilvl w:val="1"/>
                <w:numId w:val="1"/>
              </w:numPr>
              <w:spacing w:after="120"/>
              <w:ind w:left="568"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elevation or RL (Reduced Level – elevation above sea level in metres) of the drill hole collar</w:t>
            </w:r>
          </w:p>
          <w:p w14:paraId="1CCE206B" w14:textId="77777777" w:rsidR="007847FD" w:rsidRPr="0058650A" w:rsidRDefault="007847FD" w:rsidP="003B5B3F">
            <w:pPr>
              <w:pStyle w:val="ListParagraph"/>
              <w:widowControl w:val="0"/>
              <w:numPr>
                <w:ilvl w:val="1"/>
                <w:numId w:val="1"/>
              </w:numPr>
              <w:spacing w:after="120"/>
              <w:ind w:left="568"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dip and azimuth of the hole</w:t>
            </w:r>
          </w:p>
          <w:p w14:paraId="2ABE5801" w14:textId="77777777" w:rsidR="007847FD" w:rsidRPr="0058650A" w:rsidRDefault="007847FD" w:rsidP="003B5B3F">
            <w:pPr>
              <w:pStyle w:val="ListParagraph"/>
              <w:widowControl w:val="0"/>
              <w:numPr>
                <w:ilvl w:val="1"/>
                <w:numId w:val="1"/>
              </w:numPr>
              <w:spacing w:after="120"/>
              <w:ind w:left="568"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down hole length and interception depth</w:t>
            </w:r>
          </w:p>
          <w:p w14:paraId="6342DB81" w14:textId="77777777" w:rsidR="007847FD" w:rsidRPr="0058650A" w:rsidRDefault="007847FD" w:rsidP="003B5B3F">
            <w:pPr>
              <w:pStyle w:val="ListParagraph"/>
              <w:widowControl w:val="0"/>
              <w:numPr>
                <w:ilvl w:val="1"/>
                <w:numId w:val="1"/>
              </w:numPr>
              <w:spacing w:after="120"/>
              <w:ind w:left="568"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hole length.</w:t>
            </w:r>
          </w:p>
          <w:p w14:paraId="16EBC619"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If the exclusion of this information is justified on the basis that the information is not Material and this exclusion does not detract from the understanding of the report, the Competent Person should clearly explain why this is the case.</w:t>
            </w:r>
          </w:p>
        </w:tc>
        <w:tc>
          <w:tcPr>
            <w:tcW w:w="4999" w:type="dxa"/>
          </w:tcPr>
          <w:p w14:paraId="6E1B6593"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 xml:space="preserve">Refer to the table for more details </w:t>
            </w:r>
          </w:p>
        </w:tc>
      </w:tr>
      <w:tr w:rsidR="007847FD" w:rsidRPr="0058650A" w14:paraId="7EFE967B" w14:textId="77777777" w:rsidTr="003B5B3F">
        <w:trPr>
          <w:cnfStyle w:val="000000100000" w:firstRow="0" w:lastRow="0" w:firstColumn="0" w:lastColumn="0" w:oddVBand="0" w:evenVBand="0" w:oddHBand="1" w:evenHBand="0" w:firstRowFirstColumn="0" w:firstRowLastColumn="0" w:lastRowFirstColumn="0" w:lastRowLastColumn="0"/>
          <w:trHeight w:val="781"/>
          <w:jc w:val="center"/>
        </w:trPr>
        <w:tc>
          <w:tcPr>
            <w:cnfStyle w:val="001000000000" w:firstRow="0" w:lastRow="0" w:firstColumn="1" w:lastColumn="0" w:oddVBand="0" w:evenVBand="0" w:oddHBand="0" w:evenHBand="0" w:firstRowFirstColumn="0" w:firstRowLastColumn="0" w:lastRowFirstColumn="0" w:lastRowLastColumn="0"/>
            <w:tcW w:w="1100" w:type="dxa"/>
          </w:tcPr>
          <w:p w14:paraId="31BBA6E7" w14:textId="77777777" w:rsidR="007847FD" w:rsidRPr="0058650A" w:rsidRDefault="007847FD" w:rsidP="003B5B3F">
            <w:pPr>
              <w:spacing w:after="120"/>
              <w:rPr>
                <w:b w:val="0"/>
                <w:sz w:val="16"/>
                <w:szCs w:val="16"/>
                <w:lang w:val="en-US"/>
              </w:rPr>
            </w:pPr>
            <w:r w:rsidRPr="0058650A">
              <w:rPr>
                <w:b w:val="0"/>
                <w:i/>
                <w:sz w:val="16"/>
                <w:szCs w:val="16"/>
                <w:lang w:val="en-US"/>
              </w:rPr>
              <w:t>Data aggregation methods</w:t>
            </w:r>
          </w:p>
        </w:tc>
        <w:tc>
          <w:tcPr>
            <w:tcW w:w="4999" w:type="dxa"/>
          </w:tcPr>
          <w:p w14:paraId="06FEB3DA"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In reporting Exploration Results, weighting averaging techniques, maximum and/or minimum grade truncations (eg cutting of high grades) and cut-off grades are usually Material and should be stated.</w:t>
            </w:r>
          </w:p>
          <w:p w14:paraId="7446740E"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 xml:space="preserve">Where aggregate intercepts incorporate short lengths of </w:t>
            </w:r>
            <w:proofErr w:type="gramStart"/>
            <w:r w:rsidRPr="0058650A">
              <w:rPr>
                <w:rFonts w:cs="Arial"/>
                <w:i/>
                <w:sz w:val="16"/>
                <w:szCs w:val="16"/>
              </w:rPr>
              <w:t>high grade</w:t>
            </w:r>
            <w:proofErr w:type="gramEnd"/>
            <w:r w:rsidRPr="0058650A">
              <w:rPr>
                <w:rFonts w:cs="Arial"/>
                <w:i/>
                <w:sz w:val="16"/>
                <w:szCs w:val="16"/>
              </w:rPr>
              <w:t xml:space="preserve"> results and longer lengths of low grade results, the procedure used for such aggregation should be stated and some typical examples of such aggregations should be shown in detail.</w:t>
            </w:r>
          </w:p>
          <w:p w14:paraId="4DDF3053"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The assumptions used for any reporting of metal equivalent values should be clearly stated.</w:t>
            </w:r>
          </w:p>
        </w:tc>
        <w:tc>
          <w:tcPr>
            <w:tcW w:w="4999" w:type="dxa"/>
          </w:tcPr>
          <w:p w14:paraId="064DC7EF"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 </w:t>
            </w:r>
            <w:r w:rsidRPr="00AA2207">
              <w:rPr>
                <w:rFonts w:cs="Arial"/>
                <w:color w:val="000000" w:themeColor="text1"/>
                <w:sz w:val="16"/>
                <w:szCs w:val="16"/>
              </w:rPr>
              <w:t xml:space="preserve">Figures 2 to 7, and Tables 1 -6 </w:t>
            </w:r>
            <w:r w:rsidRPr="00910868">
              <w:rPr>
                <w:rFonts w:cs="Arial"/>
                <w:sz w:val="16"/>
                <w:szCs w:val="16"/>
              </w:rPr>
              <w:t>in</w:t>
            </w:r>
            <w:r w:rsidRPr="0058650A">
              <w:rPr>
                <w:rFonts w:cs="Arial"/>
                <w:sz w:val="16"/>
                <w:szCs w:val="16"/>
              </w:rPr>
              <w:t xml:space="preserve"> the document provide the relevant information for the significant intersections. </w:t>
            </w:r>
          </w:p>
          <w:p w14:paraId="70FBBEE3"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rFonts w:cs="Arial"/>
                <w:sz w:val="16"/>
                <w:szCs w:val="16"/>
              </w:rPr>
              <w:t xml:space="preserve">A full listing of all the Wadi Al Jaww and Jabal Shayban drill holes for the area covered by the press release </w:t>
            </w:r>
          </w:p>
          <w:p w14:paraId="04D70AF9" w14:textId="77777777" w:rsidR="007847FD" w:rsidRPr="00910868"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sz w:val="16"/>
                <w:szCs w:val="16"/>
              </w:rPr>
            </w:pPr>
            <w:r w:rsidRPr="00910868">
              <w:rPr>
                <w:sz w:val="16"/>
                <w:szCs w:val="16"/>
              </w:rPr>
              <w:t xml:space="preserve">Figures 2 to 6 and Tables 1 and 6 “Significant Intersections” – a significant intersection is defined as an intersection ≥0.3g/t Au over 5m or au gram meter &gt; </w:t>
            </w:r>
            <w:proofErr w:type="gramStart"/>
            <w:r w:rsidRPr="00910868">
              <w:rPr>
                <w:sz w:val="16"/>
                <w:szCs w:val="16"/>
              </w:rPr>
              <w:t>15,</w:t>
            </w:r>
            <w:r>
              <w:rPr>
                <w:sz w:val="16"/>
                <w:szCs w:val="16"/>
              </w:rPr>
              <w:t xml:space="preserve"> </w:t>
            </w:r>
            <w:r w:rsidRPr="00910868">
              <w:rPr>
                <w:sz w:val="16"/>
                <w:szCs w:val="16"/>
              </w:rPr>
              <w:t>and</w:t>
            </w:r>
            <w:proofErr w:type="gramEnd"/>
            <w:r w:rsidRPr="00910868">
              <w:rPr>
                <w:sz w:val="16"/>
                <w:szCs w:val="16"/>
              </w:rPr>
              <w:t xml:space="preserve"> can include up to 4 metres &lt;0.3g/t Au, for Drill holes, </w:t>
            </w:r>
          </w:p>
          <w:p w14:paraId="48CC935A" w14:textId="77777777" w:rsidR="007847FD" w:rsidRPr="00910868"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sz w:val="16"/>
                <w:szCs w:val="16"/>
              </w:rPr>
            </w:pPr>
            <w:r w:rsidRPr="00910868">
              <w:rPr>
                <w:sz w:val="16"/>
                <w:szCs w:val="16"/>
              </w:rPr>
              <w:t xml:space="preserve">Significant intercept for Surface channel sample is defined as Au &gt;0.2g/t over 5m and including up to 5m of internal dilution. </w:t>
            </w:r>
          </w:p>
          <w:p w14:paraId="6B3DB391"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sz w:val="16"/>
                <w:szCs w:val="16"/>
              </w:rPr>
            </w:pPr>
            <w:r w:rsidRPr="0058650A">
              <w:rPr>
                <w:sz w:val="16"/>
                <w:szCs w:val="16"/>
              </w:rPr>
              <w:t xml:space="preserve">Gold and Copper equivalents is calculated using spot prices as of December 6, 2024. (Au = $2636.5/oz, Cu= $4.1405/lb) </w:t>
            </w:r>
          </w:p>
          <w:p w14:paraId="391EB3A4"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sz w:val="16"/>
                <w:szCs w:val="16"/>
              </w:rPr>
            </w:pPr>
            <w:r w:rsidRPr="0058650A">
              <w:rPr>
                <w:sz w:val="16"/>
                <w:szCs w:val="16"/>
              </w:rPr>
              <w:t xml:space="preserve">At the time of this report there is no metallurgical recovery for any of the metal on these projects hence no recovery was applied in calculating the equivalent.  </w:t>
            </w:r>
          </w:p>
          <w:p w14:paraId="69DE7F0E"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sz w:val="16"/>
                <w:szCs w:val="16"/>
              </w:rPr>
            </w:pPr>
            <w:r w:rsidRPr="0058650A">
              <w:rPr>
                <w:sz w:val="16"/>
                <w:szCs w:val="16"/>
              </w:rPr>
              <w:t xml:space="preserve"> 0.3g/t is cut off is based on calculated full grade ore cut-off in current Maaden operating mines.</w:t>
            </w:r>
          </w:p>
          <w:p w14:paraId="17BD2C2E"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sz w:val="16"/>
                <w:szCs w:val="16"/>
              </w:rPr>
            </w:pPr>
            <w:r w:rsidRPr="0058650A">
              <w:rPr>
                <w:sz w:val="16"/>
                <w:szCs w:val="16"/>
              </w:rPr>
              <w:t xml:space="preserve">Assay grades are not top cut when calculating an intersection. </w:t>
            </w:r>
          </w:p>
          <w:p w14:paraId="4F54B05C"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58650A">
              <w:rPr>
                <w:sz w:val="16"/>
                <w:szCs w:val="16"/>
              </w:rPr>
              <w:t>As the project progress a verified metallurgical information will be used.</w:t>
            </w:r>
          </w:p>
        </w:tc>
      </w:tr>
      <w:tr w:rsidR="007847FD" w:rsidRPr="0058650A" w14:paraId="7A604305" w14:textId="77777777" w:rsidTr="003B5B3F">
        <w:trPr>
          <w:trHeight w:val="139"/>
          <w:jc w:val="center"/>
        </w:trPr>
        <w:tc>
          <w:tcPr>
            <w:cnfStyle w:val="001000000000" w:firstRow="0" w:lastRow="0" w:firstColumn="1" w:lastColumn="0" w:oddVBand="0" w:evenVBand="0" w:oddHBand="0" w:evenHBand="0" w:firstRowFirstColumn="0" w:firstRowLastColumn="0" w:lastRowFirstColumn="0" w:lastRowLastColumn="0"/>
            <w:tcW w:w="1100" w:type="dxa"/>
          </w:tcPr>
          <w:p w14:paraId="07DFDD74" w14:textId="77777777" w:rsidR="007847FD" w:rsidRPr="0058650A" w:rsidRDefault="007847FD" w:rsidP="003B5B3F">
            <w:pPr>
              <w:spacing w:after="120"/>
              <w:rPr>
                <w:b w:val="0"/>
                <w:sz w:val="16"/>
                <w:szCs w:val="16"/>
                <w:lang w:val="en-US"/>
              </w:rPr>
            </w:pPr>
            <w:r w:rsidRPr="0058650A">
              <w:rPr>
                <w:b w:val="0"/>
                <w:i/>
                <w:sz w:val="16"/>
                <w:szCs w:val="16"/>
                <w:lang w:val="en-US"/>
              </w:rPr>
              <w:t>Relationship between mineralisation widths and intercept lengths</w:t>
            </w:r>
          </w:p>
        </w:tc>
        <w:tc>
          <w:tcPr>
            <w:tcW w:w="4999" w:type="dxa"/>
          </w:tcPr>
          <w:p w14:paraId="323F6CDB"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These relationships are particularly important in the reporting of Exploration Results.</w:t>
            </w:r>
          </w:p>
          <w:p w14:paraId="463FCC80"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If the geometry of the mineralisation with respect to the drill hole angle is known, its nature should be reported.</w:t>
            </w:r>
          </w:p>
          <w:p w14:paraId="18951428"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If it is not known and only the down hole lengths are reported, there should be a clear statement to this effect (eg ‘down hole length, true width not known’).</w:t>
            </w:r>
          </w:p>
        </w:tc>
        <w:tc>
          <w:tcPr>
            <w:tcW w:w="4999" w:type="dxa"/>
          </w:tcPr>
          <w:p w14:paraId="2A330B37"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lang w:val="en-US"/>
              </w:rPr>
            </w:pPr>
            <w:r w:rsidRPr="0058650A">
              <w:rPr>
                <w:rFonts w:cs="Arial"/>
                <w:sz w:val="16"/>
                <w:szCs w:val="16"/>
                <w:lang w:val="en-US"/>
              </w:rPr>
              <w:t xml:space="preserve">Mineralisation in Wadi Al Jaww has multiple vein direction which is under investigation to define the principal directions. </w:t>
            </w:r>
          </w:p>
          <w:p w14:paraId="0341F7CE"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sz w:val="16"/>
                <w:szCs w:val="16"/>
              </w:rPr>
            </w:pPr>
            <w:r w:rsidRPr="0058650A">
              <w:rPr>
                <w:rFonts w:cs="Arial"/>
                <w:sz w:val="16"/>
                <w:szCs w:val="16"/>
                <w:lang w:val="en-US"/>
              </w:rPr>
              <w:t xml:space="preserve">Intercept reported now is downhole length, true width to be determined later stages of the project. </w:t>
            </w:r>
          </w:p>
          <w:p w14:paraId="14CC3D81"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lang w:val="en-US"/>
              </w:rPr>
            </w:pPr>
            <w:r w:rsidRPr="0058650A">
              <w:rPr>
                <w:rFonts w:cs="Arial"/>
                <w:sz w:val="16"/>
                <w:szCs w:val="16"/>
                <w:lang w:val="en-US"/>
              </w:rPr>
              <w:t xml:space="preserve">Insufficient data is available to confirm the geological model and as such all results are reported in apparent width; the true width is still unknown. </w:t>
            </w:r>
          </w:p>
        </w:tc>
      </w:tr>
      <w:tr w:rsidR="007847FD" w:rsidRPr="0058650A" w14:paraId="213BCAF4" w14:textId="77777777" w:rsidTr="003B5B3F">
        <w:trPr>
          <w:cnfStyle w:val="000000100000" w:firstRow="0" w:lastRow="0" w:firstColumn="0" w:lastColumn="0" w:oddVBand="0" w:evenVBand="0" w:oddHBand="1"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100" w:type="dxa"/>
          </w:tcPr>
          <w:p w14:paraId="59F820C2" w14:textId="77777777" w:rsidR="007847FD" w:rsidRPr="0058650A" w:rsidRDefault="007847FD" w:rsidP="003B5B3F">
            <w:pPr>
              <w:spacing w:after="120"/>
              <w:rPr>
                <w:b w:val="0"/>
                <w:sz w:val="16"/>
                <w:szCs w:val="16"/>
                <w:lang w:val="en-US"/>
              </w:rPr>
            </w:pPr>
            <w:r w:rsidRPr="0058650A">
              <w:rPr>
                <w:b w:val="0"/>
                <w:i/>
                <w:sz w:val="16"/>
                <w:szCs w:val="16"/>
                <w:lang w:val="en-US"/>
              </w:rPr>
              <w:t>Diagrams</w:t>
            </w:r>
          </w:p>
        </w:tc>
        <w:tc>
          <w:tcPr>
            <w:tcW w:w="4999" w:type="dxa"/>
          </w:tcPr>
          <w:p w14:paraId="1F0D9BC1"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Appropriate maps and sections (with scales) and tabulations of intercepts should be included for any significant discovery being reported These should include, but not be limited to a plan view of drill hole collar locations and appropriate sectional views.</w:t>
            </w:r>
          </w:p>
        </w:tc>
        <w:tc>
          <w:tcPr>
            <w:tcW w:w="4999" w:type="dxa"/>
          </w:tcPr>
          <w:p w14:paraId="681CF674" w14:textId="77777777" w:rsidR="007847FD" w:rsidRPr="00AA2207"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AA2207">
              <w:rPr>
                <w:rFonts w:cs="Arial"/>
                <w:color w:val="000000" w:themeColor="text1"/>
                <w:sz w:val="16"/>
                <w:szCs w:val="16"/>
              </w:rPr>
              <w:t xml:space="preserve">Refer to Figures 2 – 4 for Wadi al Jaww </w:t>
            </w:r>
          </w:p>
          <w:p w14:paraId="3A27BAF3"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r w:rsidRPr="00AA2207">
              <w:rPr>
                <w:rFonts w:cs="Arial"/>
                <w:color w:val="000000" w:themeColor="text1"/>
                <w:sz w:val="16"/>
                <w:szCs w:val="16"/>
              </w:rPr>
              <w:t>Figures 5- 7 for Jabal Shayban</w:t>
            </w:r>
          </w:p>
        </w:tc>
      </w:tr>
      <w:tr w:rsidR="007847FD" w:rsidRPr="0058650A" w14:paraId="15DE45B9" w14:textId="77777777" w:rsidTr="003B5B3F">
        <w:trPr>
          <w:trHeight w:val="139"/>
          <w:jc w:val="center"/>
        </w:trPr>
        <w:tc>
          <w:tcPr>
            <w:cnfStyle w:val="001000000000" w:firstRow="0" w:lastRow="0" w:firstColumn="1" w:lastColumn="0" w:oddVBand="0" w:evenVBand="0" w:oddHBand="0" w:evenHBand="0" w:firstRowFirstColumn="0" w:firstRowLastColumn="0" w:lastRowFirstColumn="0" w:lastRowLastColumn="0"/>
            <w:tcW w:w="1100" w:type="dxa"/>
          </w:tcPr>
          <w:p w14:paraId="0DE5C1D8" w14:textId="77777777" w:rsidR="007847FD" w:rsidRPr="0058650A" w:rsidRDefault="007847FD" w:rsidP="003B5B3F">
            <w:pPr>
              <w:spacing w:after="120"/>
              <w:rPr>
                <w:b w:val="0"/>
                <w:i/>
                <w:sz w:val="16"/>
                <w:szCs w:val="16"/>
                <w:lang w:val="en-US"/>
              </w:rPr>
            </w:pPr>
            <w:r w:rsidRPr="0058650A">
              <w:rPr>
                <w:b w:val="0"/>
                <w:i/>
                <w:sz w:val="16"/>
                <w:szCs w:val="16"/>
                <w:lang w:val="en-US"/>
              </w:rPr>
              <w:t>Balanced reporting</w:t>
            </w:r>
          </w:p>
        </w:tc>
        <w:tc>
          <w:tcPr>
            <w:tcW w:w="4999" w:type="dxa"/>
          </w:tcPr>
          <w:p w14:paraId="424A2EB8"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 xml:space="preserve">Where comprehensive reporting of all Exploration Results is not practicable, representative reporting of both low and high grades and/or widths should be practiced </w:t>
            </w:r>
            <w:proofErr w:type="gramStart"/>
            <w:r w:rsidRPr="0058650A">
              <w:rPr>
                <w:rFonts w:cs="Arial"/>
                <w:i/>
                <w:sz w:val="16"/>
                <w:szCs w:val="16"/>
              </w:rPr>
              <w:t>to avoid</w:t>
            </w:r>
            <w:proofErr w:type="gramEnd"/>
            <w:r w:rsidRPr="0058650A">
              <w:rPr>
                <w:rFonts w:cs="Arial"/>
                <w:i/>
                <w:sz w:val="16"/>
                <w:szCs w:val="16"/>
              </w:rPr>
              <w:t xml:space="preserve"> misleading reporting of Exploration Results.</w:t>
            </w:r>
          </w:p>
        </w:tc>
        <w:tc>
          <w:tcPr>
            <w:tcW w:w="4999" w:type="dxa"/>
          </w:tcPr>
          <w:p w14:paraId="32EF2BFA"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910868">
              <w:rPr>
                <w:rFonts w:cs="Arial"/>
                <w:sz w:val="16"/>
                <w:szCs w:val="16"/>
              </w:rPr>
              <w:t>Refer to tables 1 - 4</w:t>
            </w:r>
            <w:r w:rsidRPr="0058650A">
              <w:rPr>
                <w:rFonts w:cs="Arial"/>
                <w:sz w:val="16"/>
                <w:szCs w:val="16"/>
              </w:rPr>
              <w:t xml:space="preserve"> for Wadi Al Jaww for </w:t>
            </w:r>
            <w:r>
              <w:rPr>
                <w:rFonts w:cs="Arial"/>
                <w:sz w:val="16"/>
                <w:szCs w:val="16"/>
              </w:rPr>
              <w:t xml:space="preserve">location and </w:t>
            </w:r>
            <w:r w:rsidRPr="0058650A">
              <w:rPr>
                <w:rFonts w:cs="Arial"/>
                <w:sz w:val="16"/>
                <w:szCs w:val="16"/>
              </w:rPr>
              <w:t>detailed assay information.</w:t>
            </w:r>
          </w:p>
          <w:p w14:paraId="1C76D536"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rFonts w:cs="Arial"/>
                <w:sz w:val="16"/>
                <w:szCs w:val="16"/>
              </w:rPr>
              <w:t xml:space="preserve">Refer to table 5 (Jabal Shayban location) and Table 6 for Jabal Shayban Assays. </w:t>
            </w:r>
          </w:p>
        </w:tc>
      </w:tr>
      <w:tr w:rsidR="007847FD" w:rsidRPr="0058650A" w14:paraId="0853AE7E" w14:textId="77777777" w:rsidTr="003B5B3F">
        <w:trPr>
          <w:cnfStyle w:val="000000100000" w:firstRow="0" w:lastRow="0" w:firstColumn="0" w:lastColumn="0" w:oddVBand="0" w:evenVBand="0" w:oddHBand="1"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100" w:type="dxa"/>
          </w:tcPr>
          <w:p w14:paraId="0B257A2A" w14:textId="77777777" w:rsidR="007847FD" w:rsidRPr="0058650A" w:rsidRDefault="007847FD" w:rsidP="003B5B3F">
            <w:pPr>
              <w:spacing w:after="120"/>
              <w:rPr>
                <w:b w:val="0"/>
                <w:i/>
                <w:sz w:val="16"/>
                <w:szCs w:val="16"/>
                <w:lang w:val="en-US"/>
              </w:rPr>
            </w:pPr>
            <w:r w:rsidRPr="0058650A">
              <w:rPr>
                <w:b w:val="0"/>
                <w:i/>
                <w:sz w:val="16"/>
                <w:szCs w:val="16"/>
                <w:lang w:val="en-US"/>
              </w:rPr>
              <w:t>Other substantive exploration data</w:t>
            </w:r>
          </w:p>
        </w:tc>
        <w:tc>
          <w:tcPr>
            <w:tcW w:w="4999" w:type="dxa"/>
          </w:tcPr>
          <w:p w14:paraId="37CC5A53"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i/>
                <w:sz w:val="16"/>
                <w:szCs w:val="16"/>
              </w:rPr>
            </w:pPr>
            <w:r w:rsidRPr="0058650A">
              <w:rPr>
                <w:rFonts w:cs="Arial"/>
                <w:i/>
                <w:sz w:val="16"/>
                <w:szCs w:val="16"/>
              </w:rPr>
              <w:t>Other exploration data, if meaningful and material, should be reported including (but not limited to): geological observations; geophysical survey results; geochemical survey results; bulk samples – size and method of treatment; metallurgical test results; bulk density, groundwater, geotechnical and rock characteristics; potential deleterious or contaminating substances.</w:t>
            </w:r>
          </w:p>
        </w:tc>
        <w:tc>
          <w:tcPr>
            <w:tcW w:w="4999" w:type="dxa"/>
          </w:tcPr>
          <w:p w14:paraId="35B1FD6A" w14:textId="77777777" w:rsidR="007847FD" w:rsidRPr="0058650A" w:rsidRDefault="007847FD" w:rsidP="003B5B3F">
            <w:pPr>
              <w:pStyle w:val="ListParagraph"/>
              <w:widowControl w:val="0"/>
              <w:numPr>
                <w:ilvl w:val="0"/>
                <w:numId w:val="1"/>
              </w:numPr>
              <w:spacing w:after="120"/>
              <w:ind w:left="284" w:hanging="284"/>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847FD" w:rsidRPr="0058650A" w14:paraId="6D7710C7" w14:textId="77777777" w:rsidTr="003B5B3F">
        <w:trPr>
          <w:trHeight w:val="1142"/>
          <w:jc w:val="center"/>
        </w:trPr>
        <w:tc>
          <w:tcPr>
            <w:cnfStyle w:val="001000000000" w:firstRow="0" w:lastRow="0" w:firstColumn="1" w:lastColumn="0" w:oddVBand="0" w:evenVBand="0" w:oddHBand="0" w:evenHBand="0" w:firstRowFirstColumn="0" w:firstRowLastColumn="0" w:lastRowFirstColumn="0" w:lastRowLastColumn="0"/>
            <w:tcW w:w="1100" w:type="dxa"/>
          </w:tcPr>
          <w:p w14:paraId="0D59C93B" w14:textId="77777777" w:rsidR="007847FD" w:rsidRPr="0058650A" w:rsidRDefault="007847FD" w:rsidP="003B5B3F">
            <w:pPr>
              <w:spacing w:after="120"/>
              <w:rPr>
                <w:b w:val="0"/>
                <w:i/>
                <w:sz w:val="16"/>
                <w:szCs w:val="16"/>
                <w:lang w:val="en-US"/>
              </w:rPr>
            </w:pPr>
            <w:r w:rsidRPr="0058650A">
              <w:rPr>
                <w:b w:val="0"/>
                <w:i/>
                <w:sz w:val="16"/>
                <w:szCs w:val="16"/>
                <w:lang w:val="en-US"/>
              </w:rPr>
              <w:t>Further work</w:t>
            </w:r>
          </w:p>
        </w:tc>
        <w:tc>
          <w:tcPr>
            <w:tcW w:w="4999" w:type="dxa"/>
          </w:tcPr>
          <w:p w14:paraId="48898B6A"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The nature and scale of planned further work (eg tests for lateral extensions or depth extensions or large-scale step-out drilling).</w:t>
            </w:r>
          </w:p>
          <w:p w14:paraId="5FB63713"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i/>
                <w:sz w:val="16"/>
                <w:szCs w:val="16"/>
              </w:rPr>
            </w:pPr>
            <w:r w:rsidRPr="0058650A">
              <w:rPr>
                <w:rFonts w:cs="Arial"/>
                <w:i/>
                <w:sz w:val="16"/>
                <w:szCs w:val="16"/>
              </w:rPr>
              <w:t>Diagrams clearly highlighting the areas of possible extensions, including the main geological interpretations and future drilling areas, provided this information is not commercially sensitive.</w:t>
            </w:r>
          </w:p>
        </w:tc>
        <w:tc>
          <w:tcPr>
            <w:tcW w:w="4999" w:type="dxa"/>
          </w:tcPr>
          <w:p w14:paraId="6C6BBE60"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sz w:val="16"/>
                <w:szCs w:val="16"/>
              </w:rPr>
              <w:t>At</w:t>
            </w:r>
            <w:r w:rsidRPr="0058650A">
              <w:rPr>
                <w:spacing w:val="-4"/>
                <w:sz w:val="16"/>
                <w:szCs w:val="16"/>
              </w:rPr>
              <w:t xml:space="preserve"> </w:t>
            </w:r>
            <w:r w:rsidRPr="0058650A">
              <w:rPr>
                <w:sz w:val="16"/>
                <w:szCs w:val="16"/>
              </w:rPr>
              <w:t>the</w:t>
            </w:r>
            <w:r w:rsidRPr="0058650A">
              <w:rPr>
                <w:spacing w:val="-5"/>
                <w:sz w:val="16"/>
                <w:szCs w:val="16"/>
              </w:rPr>
              <w:t xml:space="preserve"> </w:t>
            </w:r>
            <w:r w:rsidRPr="0058650A">
              <w:rPr>
                <w:sz w:val="16"/>
                <w:szCs w:val="16"/>
              </w:rPr>
              <w:t>time</w:t>
            </w:r>
            <w:r w:rsidRPr="0058650A">
              <w:rPr>
                <w:spacing w:val="-5"/>
                <w:sz w:val="16"/>
                <w:szCs w:val="16"/>
              </w:rPr>
              <w:t xml:space="preserve"> </w:t>
            </w:r>
            <w:r w:rsidRPr="0058650A">
              <w:rPr>
                <w:sz w:val="16"/>
                <w:szCs w:val="16"/>
              </w:rPr>
              <w:t>of</w:t>
            </w:r>
            <w:r w:rsidRPr="0058650A">
              <w:rPr>
                <w:spacing w:val="-4"/>
                <w:sz w:val="16"/>
                <w:szCs w:val="16"/>
              </w:rPr>
              <w:t xml:space="preserve"> </w:t>
            </w:r>
            <w:r w:rsidRPr="0058650A">
              <w:rPr>
                <w:sz w:val="16"/>
                <w:szCs w:val="16"/>
              </w:rPr>
              <w:t>preparing</w:t>
            </w:r>
            <w:r w:rsidRPr="0058650A">
              <w:rPr>
                <w:spacing w:val="-5"/>
                <w:sz w:val="16"/>
                <w:szCs w:val="16"/>
              </w:rPr>
              <w:t xml:space="preserve"> </w:t>
            </w:r>
            <w:r w:rsidRPr="0058650A">
              <w:rPr>
                <w:sz w:val="16"/>
                <w:szCs w:val="16"/>
              </w:rPr>
              <w:t>this,</w:t>
            </w:r>
            <w:r w:rsidRPr="0058650A">
              <w:rPr>
                <w:spacing w:val="-4"/>
                <w:sz w:val="16"/>
                <w:szCs w:val="16"/>
              </w:rPr>
              <w:t xml:space="preserve"> </w:t>
            </w:r>
            <w:r w:rsidRPr="0058650A">
              <w:rPr>
                <w:sz w:val="16"/>
                <w:szCs w:val="16"/>
              </w:rPr>
              <w:t xml:space="preserve">exploration work is in progress to delineate the full extent of the Wadi Al Jaww. </w:t>
            </w:r>
          </w:p>
          <w:p w14:paraId="7C7346FB" w14:textId="77777777" w:rsidR="007847FD" w:rsidRPr="0058650A" w:rsidRDefault="007847FD" w:rsidP="003B5B3F">
            <w:pPr>
              <w:pStyle w:val="ListParagraph"/>
              <w:widowControl w:val="0"/>
              <w:numPr>
                <w:ilvl w:val="0"/>
                <w:numId w:val="1"/>
              </w:numPr>
              <w:spacing w:after="120"/>
              <w:ind w:left="284" w:hanging="284"/>
              <w:cnfStyle w:val="000000000000" w:firstRow="0" w:lastRow="0" w:firstColumn="0" w:lastColumn="0" w:oddVBand="0" w:evenVBand="0" w:oddHBand="0" w:evenHBand="0" w:firstRowFirstColumn="0" w:firstRowLastColumn="0" w:lastRowFirstColumn="0" w:lastRowLastColumn="0"/>
              <w:rPr>
                <w:rFonts w:cs="Arial"/>
                <w:sz w:val="16"/>
                <w:szCs w:val="16"/>
              </w:rPr>
            </w:pPr>
            <w:r w:rsidRPr="0058650A">
              <w:rPr>
                <w:sz w:val="16"/>
                <w:szCs w:val="16"/>
              </w:rPr>
              <w:t xml:space="preserve">In the case of Jabal Shayban follow up drilling in underway to increase confidence in the geological understanding. </w:t>
            </w:r>
          </w:p>
        </w:tc>
      </w:tr>
    </w:tbl>
    <w:p w14:paraId="1D623CAE" w14:textId="39445BCE" w:rsidR="007847FD" w:rsidRDefault="007847FD" w:rsidP="007847FD">
      <w:pPr>
        <w:spacing w:after="160" w:line="278" w:lineRule="auto"/>
      </w:pPr>
    </w:p>
    <w:p w14:paraId="5CBEA4E5" w14:textId="3CA52966" w:rsidR="007847FD" w:rsidRDefault="009019FC" w:rsidP="001468B7">
      <w:pPr>
        <w:jc w:val="center"/>
      </w:pPr>
      <w:r>
        <w:rPr>
          <w:noProof/>
          <w14:ligatures w14:val="standardContextual"/>
        </w:rPr>
        <w:drawing>
          <wp:inline distT="0" distB="0" distL="0" distR="0" wp14:anchorId="2731F53D" wp14:editId="5B3A8303">
            <wp:extent cx="5770014" cy="3310360"/>
            <wp:effectExtent l="0" t="0" r="0" b="4445"/>
            <wp:docPr id="1919513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13438" name="Picture 19195134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23100" cy="3340816"/>
                    </a:xfrm>
                    <a:prstGeom prst="rect">
                      <a:avLst/>
                    </a:prstGeom>
                  </pic:spPr>
                </pic:pic>
              </a:graphicData>
            </a:graphic>
          </wp:inline>
        </w:drawing>
      </w:r>
    </w:p>
    <w:p w14:paraId="18C8BC30" w14:textId="2A3A21CC" w:rsidR="007847FD" w:rsidRDefault="007847FD" w:rsidP="008C0681">
      <w:pPr>
        <w:keepNext/>
      </w:pPr>
    </w:p>
    <w:p w14:paraId="67E82C7E" w14:textId="5605BE65" w:rsidR="007847FD" w:rsidRDefault="007847FD" w:rsidP="007847FD">
      <w:pPr>
        <w:pStyle w:val="Caption"/>
        <w:jc w:val="center"/>
      </w:pPr>
      <w:r w:rsidRPr="00914B41">
        <w:t xml:space="preserve">Figure </w:t>
      </w:r>
      <w:r w:rsidRPr="00914B41">
        <w:fldChar w:fldCharType="begin"/>
      </w:r>
      <w:r w:rsidRPr="00914B41">
        <w:instrText xml:space="preserve"> SEQ Figure \* ARABIC </w:instrText>
      </w:r>
      <w:r w:rsidRPr="00914B41">
        <w:fldChar w:fldCharType="separate"/>
      </w:r>
      <w:r w:rsidRPr="00914B41">
        <w:rPr>
          <w:noProof/>
        </w:rPr>
        <w:t>1</w:t>
      </w:r>
      <w:r w:rsidRPr="00914B41">
        <w:fldChar w:fldCharType="end"/>
      </w:r>
      <w:r w:rsidRPr="00914B41">
        <w:rPr>
          <w:lang w:val="en-US"/>
        </w:rPr>
        <w:t xml:space="preserve"> Plan view of the Kingdom of Saudi Arabia with </w:t>
      </w:r>
      <w:r w:rsidR="00A57A4B" w:rsidRPr="00914B41">
        <w:rPr>
          <w:lang w:val="en-US"/>
        </w:rPr>
        <w:t>Wadi Al Jaww and Jabal Shayban</w:t>
      </w:r>
    </w:p>
    <w:p w14:paraId="50FFBA4F" w14:textId="77777777" w:rsidR="007847FD" w:rsidRDefault="007847FD" w:rsidP="007847FD">
      <w:pPr>
        <w:keepNext/>
      </w:pPr>
      <w:r>
        <w:rPr>
          <w:noProof/>
        </w:rPr>
        <w:drawing>
          <wp:inline distT="0" distB="0" distL="0" distR="0" wp14:anchorId="12A50197" wp14:editId="5F3AAE7B">
            <wp:extent cx="5943600" cy="3207385"/>
            <wp:effectExtent l="0" t="0" r="0" b="0"/>
            <wp:docPr id="9" name="Picture 9" descr="A map of a mounta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map of a mountain&#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207385"/>
                    </a:xfrm>
                    <a:prstGeom prst="rect">
                      <a:avLst/>
                    </a:prstGeom>
                    <a:noFill/>
                    <a:ln>
                      <a:noFill/>
                    </a:ln>
                  </pic:spPr>
                </pic:pic>
              </a:graphicData>
            </a:graphic>
          </wp:inline>
        </w:drawing>
      </w:r>
    </w:p>
    <w:p w14:paraId="7D9B4F0C" w14:textId="77777777" w:rsidR="007847FD" w:rsidRDefault="007847FD" w:rsidP="007847FD">
      <w:pPr>
        <w:pStyle w:val="Caption"/>
        <w:jc w:val="center"/>
      </w:pPr>
      <w:r>
        <w:t xml:space="preserve">Figure </w:t>
      </w:r>
      <w:r>
        <w:fldChar w:fldCharType="begin"/>
      </w:r>
      <w:r>
        <w:instrText xml:space="preserve"> SEQ Figure \* ARABIC </w:instrText>
      </w:r>
      <w:r>
        <w:fldChar w:fldCharType="separate"/>
      </w:r>
      <w:r>
        <w:rPr>
          <w:noProof/>
        </w:rPr>
        <w:t>2</w:t>
      </w:r>
      <w:r>
        <w:fldChar w:fldCharType="end"/>
      </w:r>
      <w:r>
        <w:rPr>
          <w:lang w:val="en-US"/>
        </w:rPr>
        <w:t xml:space="preserve"> Wadi Al Jaww</w:t>
      </w:r>
      <w:r w:rsidRPr="004C19E0">
        <w:rPr>
          <w:lang w:val="en-US"/>
        </w:rPr>
        <w:t xml:space="preserve"> Plan View</w:t>
      </w:r>
    </w:p>
    <w:p w14:paraId="4A348435" w14:textId="77777777" w:rsidR="007847FD" w:rsidRDefault="007847FD" w:rsidP="007847FD">
      <w:pPr>
        <w:keepNext/>
      </w:pPr>
      <w:r>
        <w:rPr>
          <w:noProof/>
        </w:rPr>
        <w:lastRenderedPageBreak/>
        <w:drawing>
          <wp:inline distT="0" distB="0" distL="0" distR="0" wp14:anchorId="6944A077" wp14:editId="08CCD1C5">
            <wp:extent cx="5943600" cy="31978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197860"/>
                    </a:xfrm>
                    <a:prstGeom prst="rect">
                      <a:avLst/>
                    </a:prstGeom>
                    <a:noFill/>
                    <a:ln>
                      <a:noFill/>
                    </a:ln>
                  </pic:spPr>
                </pic:pic>
              </a:graphicData>
            </a:graphic>
          </wp:inline>
        </w:drawing>
      </w:r>
    </w:p>
    <w:p w14:paraId="5BC0C10A" w14:textId="77777777" w:rsidR="007847FD" w:rsidRDefault="007847FD" w:rsidP="007847FD">
      <w:pPr>
        <w:pStyle w:val="Caption"/>
        <w:jc w:val="center"/>
      </w:pPr>
      <w:r>
        <w:t xml:space="preserve">Figure </w:t>
      </w:r>
      <w:r>
        <w:fldChar w:fldCharType="begin"/>
      </w:r>
      <w:r>
        <w:instrText xml:space="preserve"> SEQ Figure \* ARABIC </w:instrText>
      </w:r>
      <w:r>
        <w:fldChar w:fldCharType="separate"/>
      </w:r>
      <w:r>
        <w:rPr>
          <w:noProof/>
        </w:rPr>
        <w:t>3</w:t>
      </w:r>
      <w:r>
        <w:fldChar w:fldCharType="end"/>
      </w:r>
      <w:r>
        <w:rPr>
          <w:lang w:val="en-US"/>
        </w:rPr>
        <w:t xml:space="preserve"> Wadi Al Jaww</w:t>
      </w:r>
      <w:r w:rsidRPr="0027134C">
        <w:rPr>
          <w:lang w:val="en-US"/>
        </w:rPr>
        <w:t xml:space="preserve"> sections 1</w:t>
      </w:r>
    </w:p>
    <w:p w14:paraId="0CBA8A08" w14:textId="77777777" w:rsidR="007847FD" w:rsidRDefault="007847FD" w:rsidP="007847FD">
      <w:pPr>
        <w:keepNext/>
      </w:pPr>
      <w:r>
        <w:rPr>
          <w:noProof/>
        </w:rPr>
        <w:drawing>
          <wp:inline distT="0" distB="0" distL="0" distR="0" wp14:anchorId="3498328E" wp14:editId="4DD85012">
            <wp:extent cx="5943600" cy="3244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244850"/>
                    </a:xfrm>
                    <a:prstGeom prst="rect">
                      <a:avLst/>
                    </a:prstGeom>
                    <a:noFill/>
                    <a:ln>
                      <a:noFill/>
                    </a:ln>
                  </pic:spPr>
                </pic:pic>
              </a:graphicData>
            </a:graphic>
          </wp:inline>
        </w:drawing>
      </w:r>
    </w:p>
    <w:p w14:paraId="6B4E0FDF" w14:textId="77777777" w:rsidR="007847FD" w:rsidRDefault="007847FD" w:rsidP="007847FD">
      <w:pPr>
        <w:pStyle w:val="Caption"/>
        <w:jc w:val="center"/>
      </w:pPr>
      <w:r>
        <w:t xml:space="preserve">Figure </w:t>
      </w:r>
      <w:r>
        <w:fldChar w:fldCharType="begin"/>
      </w:r>
      <w:r>
        <w:instrText xml:space="preserve"> SEQ Figure \* ARABIC </w:instrText>
      </w:r>
      <w:r>
        <w:fldChar w:fldCharType="separate"/>
      </w:r>
      <w:r>
        <w:rPr>
          <w:noProof/>
        </w:rPr>
        <w:t>4</w:t>
      </w:r>
      <w:r>
        <w:fldChar w:fldCharType="end"/>
      </w:r>
      <w:r>
        <w:rPr>
          <w:lang w:val="en-US"/>
        </w:rPr>
        <w:t xml:space="preserve"> </w:t>
      </w:r>
      <w:r w:rsidRPr="00B129B7">
        <w:rPr>
          <w:lang w:val="en-US"/>
        </w:rPr>
        <w:t xml:space="preserve">Wadi Al Jaww sections </w:t>
      </w:r>
      <w:r>
        <w:rPr>
          <w:lang w:val="en-US"/>
        </w:rPr>
        <w:t>2</w:t>
      </w:r>
    </w:p>
    <w:p w14:paraId="2CC3DC58" w14:textId="77777777" w:rsidR="007847FD" w:rsidRDefault="007847FD" w:rsidP="007847FD">
      <w:pPr>
        <w:spacing w:after="160" w:line="278" w:lineRule="auto"/>
      </w:pPr>
    </w:p>
    <w:p w14:paraId="70E8D8E2" w14:textId="77777777" w:rsidR="007847FD" w:rsidRDefault="007847FD" w:rsidP="007847FD">
      <w:pPr>
        <w:pStyle w:val="Caption"/>
        <w:keepNext/>
        <w:jc w:val="center"/>
      </w:pPr>
      <w:r>
        <w:t xml:space="preserve">Table </w:t>
      </w:r>
      <w:r>
        <w:fldChar w:fldCharType="begin"/>
      </w:r>
      <w:r>
        <w:instrText xml:space="preserve"> SEQ Table \* ARABIC </w:instrText>
      </w:r>
      <w:r>
        <w:fldChar w:fldCharType="separate"/>
      </w:r>
      <w:r>
        <w:rPr>
          <w:noProof/>
        </w:rPr>
        <w:t>1</w:t>
      </w:r>
      <w:r>
        <w:fldChar w:fldCharType="end"/>
      </w:r>
      <w:r>
        <w:rPr>
          <w:lang w:val="en-US"/>
        </w:rPr>
        <w:t xml:space="preserve"> Wadi Al Jaww Collar</w:t>
      </w:r>
    </w:p>
    <w:tbl>
      <w:tblPr>
        <w:tblW w:w="11217" w:type="dxa"/>
        <w:jc w:val="center"/>
        <w:tblLook w:val="04A0" w:firstRow="1" w:lastRow="0" w:firstColumn="1" w:lastColumn="0" w:noHBand="0" w:noVBand="1"/>
      </w:tblPr>
      <w:tblGrid>
        <w:gridCol w:w="1410"/>
        <w:gridCol w:w="1129"/>
        <w:gridCol w:w="1079"/>
        <w:gridCol w:w="1181"/>
        <w:gridCol w:w="775"/>
        <w:gridCol w:w="1517"/>
        <w:gridCol w:w="1047"/>
        <w:gridCol w:w="885"/>
        <w:gridCol w:w="604"/>
        <w:gridCol w:w="1590"/>
      </w:tblGrid>
      <w:tr w:rsidR="007847FD" w:rsidRPr="00237780" w14:paraId="7081822C" w14:textId="77777777" w:rsidTr="003B5B3F">
        <w:trPr>
          <w:trHeight w:val="149"/>
          <w:jc w:val="center"/>
        </w:trPr>
        <w:tc>
          <w:tcPr>
            <w:tcW w:w="1410"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2FD549CB"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sidRPr="00237780">
              <w:rPr>
                <w:rFonts w:ascii="Aptos Narrow" w:eastAsia="Times New Roman" w:hAnsi="Aptos Narrow" w:cs="Times New Roman"/>
                <w:b/>
                <w:bCs/>
                <w:color w:val="FFFFFF"/>
                <w:sz w:val="18"/>
                <w:szCs w:val="18"/>
                <w:lang w:val="en-US"/>
              </w:rPr>
              <w:t>Hole_i</w:t>
            </w:r>
            <w:r>
              <w:rPr>
                <w:rFonts w:ascii="Aptos Narrow" w:eastAsia="Times New Roman" w:hAnsi="Aptos Narrow" w:cs="Times New Roman"/>
                <w:b/>
                <w:bCs/>
                <w:color w:val="FFFFFF"/>
                <w:sz w:val="18"/>
                <w:szCs w:val="18"/>
                <w:lang w:val="en-US"/>
              </w:rPr>
              <w:t>D</w:t>
            </w:r>
          </w:p>
        </w:tc>
        <w:tc>
          <w:tcPr>
            <w:tcW w:w="1129"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247CB59B"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sidRPr="00237780">
              <w:rPr>
                <w:rFonts w:ascii="Aptos Narrow" w:eastAsia="Times New Roman" w:hAnsi="Aptos Narrow" w:cs="Times New Roman"/>
                <w:b/>
                <w:bCs/>
                <w:color w:val="FFFFFF"/>
                <w:sz w:val="18"/>
                <w:szCs w:val="18"/>
                <w:lang w:val="en-US"/>
              </w:rPr>
              <w:t>max_depth</w:t>
            </w:r>
          </w:p>
        </w:tc>
        <w:tc>
          <w:tcPr>
            <w:tcW w:w="1079"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5F4FD260"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sidRPr="00237780">
              <w:rPr>
                <w:rFonts w:ascii="Aptos Narrow" w:eastAsia="Times New Roman" w:hAnsi="Aptos Narrow" w:cs="Times New Roman"/>
                <w:b/>
                <w:bCs/>
                <w:color w:val="FFFFFF"/>
                <w:sz w:val="18"/>
                <w:szCs w:val="18"/>
                <w:lang w:val="en-US"/>
              </w:rPr>
              <w:t>x</w:t>
            </w:r>
          </w:p>
        </w:tc>
        <w:tc>
          <w:tcPr>
            <w:tcW w:w="1181"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14468944"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sidRPr="00237780">
              <w:rPr>
                <w:rFonts w:ascii="Aptos Narrow" w:eastAsia="Times New Roman" w:hAnsi="Aptos Narrow" w:cs="Times New Roman"/>
                <w:b/>
                <w:bCs/>
                <w:color w:val="FFFFFF"/>
                <w:sz w:val="18"/>
                <w:szCs w:val="18"/>
                <w:lang w:val="en-US"/>
              </w:rPr>
              <w:t>y</w:t>
            </w:r>
          </w:p>
        </w:tc>
        <w:tc>
          <w:tcPr>
            <w:tcW w:w="775"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710CA7C1"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sidRPr="00237780">
              <w:rPr>
                <w:rFonts w:ascii="Aptos Narrow" w:eastAsia="Times New Roman" w:hAnsi="Aptos Narrow" w:cs="Times New Roman"/>
                <w:b/>
                <w:bCs/>
                <w:color w:val="FFFFFF"/>
                <w:sz w:val="18"/>
                <w:szCs w:val="18"/>
                <w:lang w:val="en-US"/>
              </w:rPr>
              <w:t>z</w:t>
            </w:r>
          </w:p>
        </w:tc>
        <w:tc>
          <w:tcPr>
            <w:tcW w:w="1517"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0D8C7DD8"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sidRPr="00237780">
              <w:rPr>
                <w:rFonts w:ascii="Aptos Narrow" w:eastAsia="Times New Roman" w:hAnsi="Aptos Narrow" w:cs="Times New Roman"/>
                <w:b/>
                <w:bCs/>
                <w:color w:val="FFFFFF"/>
                <w:sz w:val="18"/>
                <w:szCs w:val="18"/>
                <w:lang w:val="en-US"/>
              </w:rPr>
              <w:t>Program Stage</w:t>
            </w:r>
          </w:p>
        </w:tc>
        <w:tc>
          <w:tcPr>
            <w:tcW w:w="1047"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61C47C24"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Pr>
                <w:rFonts w:ascii="Aptos Narrow" w:eastAsia="Times New Roman" w:hAnsi="Aptos Narrow" w:cs="Times New Roman"/>
                <w:b/>
                <w:bCs/>
                <w:color w:val="FFFFFF"/>
                <w:sz w:val="18"/>
                <w:szCs w:val="18"/>
                <w:lang w:val="en-US"/>
              </w:rPr>
              <w:t>h</w:t>
            </w:r>
            <w:r w:rsidRPr="00237780">
              <w:rPr>
                <w:rFonts w:ascii="Aptos Narrow" w:eastAsia="Times New Roman" w:hAnsi="Aptos Narrow" w:cs="Times New Roman"/>
                <w:b/>
                <w:bCs/>
                <w:color w:val="FFFFFF"/>
                <w:sz w:val="18"/>
                <w:szCs w:val="18"/>
                <w:lang w:val="en-US"/>
              </w:rPr>
              <w:t>ole type</w:t>
            </w:r>
          </w:p>
        </w:tc>
        <w:tc>
          <w:tcPr>
            <w:tcW w:w="885"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49DB6584"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sidRPr="00237780">
              <w:rPr>
                <w:rFonts w:ascii="Aptos Narrow" w:eastAsia="Times New Roman" w:hAnsi="Aptos Narrow" w:cs="Times New Roman"/>
                <w:b/>
                <w:bCs/>
                <w:color w:val="FFFFFF"/>
                <w:sz w:val="18"/>
                <w:szCs w:val="18"/>
                <w:lang w:val="en-US"/>
              </w:rPr>
              <w:t>azimuth</w:t>
            </w:r>
          </w:p>
        </w:tc>
        <w:tc>
          <w:tcPr>
            <w:tcW w:w="604"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00D25D23"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sidRPr="00237780">
              <w:rPr>
                <w:rFonts w:ascii="Aptos Narrow" w:eastAsia="Times New Roman" w:hAnsi="Aptos Narrow" w:cs="Times New Roman"/>
                <w:b/>
                <w:bCs/>
                <w:color w:val="FFFFFF"/>
                <w:sz w:val="18"/>
                <w:szCs w:val="18"/>
                <w:lang w:val="en-US"/>
              </w:rPr>
              <w:t>dip</w:t>
            </w:r>
          </w:p>
        </w:tc>
        <w:tc>
          <w:tcPr>
            <w:tcW w:w="1590"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214BB593" w14:textId="77777777" w:rsidR="007847FD" w:rsidRPr="00237780" w:rsidRDefault="007847FD" w:rsidP="003B5B3F">
            <w:pPr>
              <w:spacing w:after="0"/>
              <w:rPr>
                <w:rFonts w:ascii="Aptos Narrow" w:eastAsia="Times New Roman" w:hAnsi="Aptos Narrow" w:cs="Times New Roman"/>
                <w:b/>
                <w:bCs/>
                <w:color w:val="FFFFFF"/>
                <w:sz w:val="18"/>
                <w:szCs w:val="18"/>
                <w:lang w:val="en-US"/>
              </w:rPr>
            </w:pPr>
            <w:r w:rsidRPr="00237780">
              <w:rPr>
                <w:rFonts w:ascii="Aptos Narrow" w:eastAsia="Times New Roman" w:hAnsi="Aptos Narrow" w:cs="Times New Roman"/>
                <w:b/>
                <w:bCs/>
                <w:color w:val="FFFFFF"/>
                <w:sz w:val="18"/>
                <w:szCs w:val="18"/>
                <w:lang w:val="en-US"/>
              </w:rPr>
              <w:t xml:space="preserve">Cordinate System </w:t>
            </w:r>
          </w:p>
        </w:tc>
      </w:tr>
      <w:tr w:rsidR="007847FD" w:rsidRPr="00237780" w14:paraId="61A3A892" w14:textId="77777777" w:rsidTr="003B5B3F">
        <w:trPr>
          <w:trHeight w:val="149"/>
          <w:jc w:val="center"/>
        </w:trPr>
        <w:tc>
          <w:tcPr>
            <w:tcW w:w="1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6BB90D" w14:textId="77777777" w:rsidR="007847FD" w:rsidRPr="00237780" w:rsidRDefault="007847FD" w:rsidP="003B5B3F">
            <w:pPr>
              <w:spacing w:after="0"/>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lastRenderedPageBreak/>
              <w:t>SH07DD001</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A6E889"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400.5</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33AE2F"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580276.44</w:t>
            </w: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DEF75"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2491059.47</w:t>
            </w:r>
          </w:p>
        </w:tc>
        <w:tc>
          <w:tcPr>
            <w:tcW w:w="7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81FB0"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823.75</w:t>
            </w: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748804" w14:textId="77777777" w:rsidR="007847FD" w:rsidRPr="00237780" w:rsidRDefault="007847FD" w:rsidP="003B5B3F">
            <w:pPr>
              <w:spacing w:after="0"/>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Exploration</w:t>
            </w:r>
          </w:p>
        </w:tc>
        <w:tc>
          <w:tcPr>
            <w:tcW w:w="10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92DCA5" w14:textId="77777777" w:rsidR="007847FD" w:rsidRPr="00237780" w:rsidRDefault="007847FD" w:rsidP="003B5B3F">
            <w:pPr>
              <w:spacing w:after="0"/>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DD</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275B97"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305</w:t>
            </w:r>
          </w:p>
        </w:tc>
        <w:tc>
          <w:tcPr>
            <w:tcW w:w="6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F18BCC"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-50</w:t>
            </w:r>
          </w:p>
        </w:tc>
        <w:tc>
          <w:tcPr>
            <w:tcW w:w="1590" w:type="dxa"/>
            <w:tcBorders>
              <w:top w:val="single" w:sz="4" w:space="0" w:color="auto"/>
              <w:left w:val="single" w:sz="4" w:space="0" w:color="auto"/>
              <w:bottom w:val="single" w:sz="4" w:space="0" w:color="auto"/>
              <w:right w:val="single" w:sz="4" w:space="0" w:color="auto"/>
            </w:tcBorders>
            <w:shd w:val="clear" w:color="auto" w:fill="auto"/>
            <w:noWrap/>
            <w:hideMark/>
          </w:tcPr>
          <w:p w14:paraId="7B8CBFB6" w14:textId="77777777" w:rsidR="007847FD" w:rsidRPr="00237780" w:rsidRDefault="007847FD" w:rsidP="003B5B3F">
            <w:pPr>
              <w:spacing w:after="0"/>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UTM84-Z37N</w:t>
            </w:r>
          </w:p>
        </w:tc>
      </w:tr>
      <w:tr w:rsidR="007847FD" w:rsidRPr="00237780" w14:paraId="3FBD9AF6" w14:textId="77777777" w:rsidTr="003B5B3F">
        <w:trPr>
          <w:trHeight w:val="149"/>
          <w:jc w:val="center"/>
        </w:trPr>
        <w:tc>
          <w:tcPr>
            <w:tcW w:w="1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86C1D4" w14:textId="77777777" w:rsidR="007847FD" w:rsidRPr="00237780" w:rsidRDefault="007847FD" w:rsidP="003B5B3F">
            <w:pPr>
              <w:spacing w:after="0"/>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SH07DD002</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6C538"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603.4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88E210"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580279.33</w:t>
            </w: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556F3A"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2491060.87</w:t>
            </w:r>
          </w:p>
        </w:tc>
        <w:tc>
          <w:tcPr>
            <w:tcW w:w="7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90819"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823.93</w:t>
            </w: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85C81" w14:textId="77777777" w:rsidR="007847FD" w:rsidRPr="00237780" w:rsidRDefault="007847FD" w:rsidP="003B5B3F">
            <w:pPr>
              <w:spacing w:after="0"/>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Exploration</w:t>
            </w:r>
          </w:p>
        </w:tc>
        <w:tc>
          <w:tcPr>
            <w:tcW w:w="10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61AE42" w14:textId="77777777" w:rsidR="007847FD" w:rsidRPr="00237780" w:rsidRDefault="007847FD" w:rsidP="003B5B3F">
            <w:pPr>
              <w:spacing w:after="0"/>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DD</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66FB50"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340</w:t>
            </w:r>
          </w:p>
        </w:tc>
        <w:tc>
          <w:tcPr>
            <w:tcW w:w="6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C3DDAB" w14:textId="77777777" w:rsidR="007847FD" w:rsidRPr="00237780" w:rsidRDefault="007847FD" w:rsidP="003B5B3F">
            <w:pPr>
              <w:spacing w:after="0"/>
              <w:jc w:val="right"/>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-50</w:t>
            </w:r>
          </w:p>
        </w:tc>
        <w:tc>
          <w:tcPr>
            <w:tcW w:w="1590" w:type="dxa"/>
            <w:tcBorders>
              <w:top w:val="single" w:sz="4" w:space="0" w:color="auto"/>
              <w:left w:val="single" w:sz="4" w:space="0" w:color="auto"/>
              <w:bottom w:val="single" w:sz="4" w:space="0" w:color="auto"/>
              <w:right w:val="single" w:sz="4" w:space="0" w:color="auto"/>
            </w:tcBorders>
            <w:shd w:val="clear" w:color="auto" w:fill="auto"/>
            <w:noWrap/>
            <w:hideMark/>
          </w:tcPr>
          <w:p w14:paraId="001BA60B" w14:textId="77777777" w:rsidR="007847FD" w:rsidRPr="00237780" w:rsidRDefault="007847FD" w:rsidP="003B5B3F">
            <w:pPr>
              <w:spacing w:after="0"/>
              <w:rPr>
                <w:rFonts w:ascii="Aptos Narrow" w:eastAsia="Times New Roman" w:hAnsi="Aptos Narrow" w:cs="Times New Roman"/>
                <w:color w:val="000000"/>
                <w:sz w:val="18"/>
                <w:szCs w:val="18"/>
                <w:lang w:val="en-US"/>
              </w:rPr>
            </w:pPr>
            <w:r w:rsidRPr="00237780">
              <w:rPr>
                <w:rFonts w:ascii="Aptos Narrow" w:eastAsia="Times New Roman" w:hAnsi="Aptos Narrow" w:cs="Times New Roman"/>
                <w:color w:val="000000"/>
                <w:sz w:val="18"/>
                <w:szCs w:val="18"/>
                <w:lang w:val="en-US"/>
              </w:rPr>
              <w:t>UTM84-Z37N</w:t>
            </w:r>
          </w:p>
        </w:tc>
      </w:tr>
    </w:tbl>
    <w:p w14:paraId="67EE943A" w14:textId="77777777" w:rsidR="007847FD" w:rsidRDefault="007847FD" w:rsidP="007847FD"/>
    <w:p w14:paraId="46B95A86" w14:textId="77777777" w:rsidR="007847FD" w:rsidRDefault="007847FD" w:rsidP="007847FD">
      <w:pPr>
        <w:pStyle w:val="Caption"/>
        <w:keepNext/>
        <w:jc w:val="center"/>
      </w:pPr>
      <w:r>
        <w:t xml:space="preserve">Table </w:t>
      </w:r>
      <w:r>
        <w:fldChar w:fldCharType="begin"/>
      </w:r>
      <w:r>
        <w:instrText xml:space="preserve"> SEQ Table \* ARABIC </w:instrText>
      </w:r>
      <w:r>
        <w:fldChar w:fldCharType="separate"/>
      </w:r>
      <w:r>
        <w:rPr>
          <w:noProof/>
        </w:rPr>
        <w:t>2</w:t>
      </w:r>
      <w:r>
        <w:fldChar w:fldCharType="end"/>
      </w:r>
      <w:r>
        <w:rPr>
          <w:lang w:val="en-US"/>
        </w:rPr>
        <w:t xml:space="preserve"> Wadi Al Jaww Intercepts</w:t>
      </w:r>
    </w:p>
    <w:tbl>
      <w:tblPr>
        <w:tblW w:w="7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108"/>
        <w:gridCol w:w="1257"/>
        <w:gridCol w:w="1347"/>
        <w:gridCol w:w="1437"/>
      </w:tblGrid>
      <w:tr w:rsidR="007847FD" w:rsidRPr="000579E0" w14:paraId="54A664F0" w14:textId="77777777" w:rsidTr="003B5B3F">
        <w:trPr>
          <w:trHeight w:val="233"/>
          <w:jc w:val="center"/>
        </w:trPr>
        <w:tc>
          <w:tcPr>
            <w:tcW w:w="1955" w:type="dxa"/>
            <w:shd w:val="clear" w:color="4EA72E" w:fill="4EA72E"/>
            <w:noWrap/>
            <w:vAlign w:val="bottom"/>
            <w:hideMark/>
          </w:tcPr>
          <w:p w14:paraId="4FD29E45" w14:textId="77777777" w:rsidR="007847FD" w:rsidRPr="003A24D2" w:rsidRDefault="007847FD" w:rsidP="003B5B3F">
            <w:pPr>
              <w:spacing w:after="0"/>
              <w:rPr>
                <w:rFonts w:ascii="Aptos Narrow" w:eastAsia="Times New Roman" w:hAnsi="Aptos Narrow" w:cs="Times New Roman"/>
                <w:b/>
                <w:bCs/>
                <w:color w:val="FFFFFF"/>
                <w:sz w:val="18"/>
                <w:szCs w:val="18"/>
                <w:lang w:val="en-US"/>
              </w:rPr>
            </w:pPr>
            <w:r w:rsidRPr="003A24D2">
              <w:rPr>
                <w:rFonts w:ascii="Aptos Narrow" w:eastAsia="Times New Roman" w:hAnsi="Aptos Narrow" w:cs="Times New Roman"/>
                <w:b/>
                <w:bCs/>
                <w:color w:val="FFFFFF"/>
                <w:sz w:val="18"/>
                <w:szCs w:val="18"/>
                <w:lang w:val="en-US"/>
              </w:rPr>
              <w:t>Hole_ID</w:t>
            </w:r>
          </w:p>
        </w:tc>
        <w:tc>
          <w:tcPr>
            <w:tcW w:w="1108" w:type="dxa"/>
            <w:shd w:val="clear" w:color="4EA72E" w:fill="4EA72E"/>
            <w:noWrap/>
            <w:vAlign w:val="bottom"/>
            <w:hideMark/>
          </w:tcPr>
          <w:p w14:paraId="5E0EA3DE" w14:textId="77777777" w:rsidR="007847FD" w:rsidRPr="003A24D2" w:rsidRDefault="007847FD" w:rsidP="003B5B3F">
            <w:pPr>
              <w:spacing w:after="0"/>
              <w:rPr>
                <w:rFonts w:ascii="Aptos Narrow" w:eastAsia="Times New Roman" w:hAnsi="Aptos Narrow" w:cs="Times New Roman"/>
                <w:b/>
                <w:bCs/>
                <w:color w:val="FFFFFF"/>
                <w:sz w:val="18"/>
                <w:szCs w:val="18"/>
                <w:lang w:val="en-US"/>
              </w:rPr>
            </w:pPr>
            <w:r w:rsidRPr="003A24D2">
              <w:rPr>
                <w:rFonts w:ascii="Aptos Narrow" w:eastAsia="Times New Roman" w:hAnsi="Aptos Narrow" w:cs="Times New Roman"/>
                <w:b/>
                <w:bCs/>
                <w:color w:val="FFFFFF"/>
                <w:sz w:val="18"/>
                <w:szCs w:val="18"/>
                <w:lang w:val="en-US"/>
              </w:rPr>
              <w:t>From (m)</w:t>
            </w:r>
          </w:p>
        </w:tc>
        <w:tc>
          <w:tcPr>
            <w:tcW w:w="1257" w:type="dxa"/>
            <w:shd w:val="clear" w:color="4EA72E" w:fill="4EA72E"/>
            <w:noWrap/>
            <w:vAlign w:val="bottom"/>
            <w:hideMark/>
          </w:tcPr>
          <w:p w14:paraId="72B15D94" w14:textId="77777777" w:rsidR="007847FD" w:rsidRPr="003A24D2" w:rsidRDefault="007847FD" w:rsidP="003B5B3F">
            <w:pPr>
              <w:spacing w:after="0"/>
              <w:rPr>
                <w:rFonts w:ascii="Aptos Narrow" w:eastAsia="Times New Roman" w:hAnsi="Aptos Narrow" w:cs="Times New Roman"/>
                <w:b/>
                <w:bCs/>
                <w:color w:val="FFFFFF"/>
                <w:sz w:val="18"/>
                <w:szCs w:val="18"/>
                <w:lang w:val="en-US"/>
              </w:rPr>
            </w:pPr>
            <w:r w:rsidRPr="003A24D2">
              <w:rPr>
                <w:rFonts w:ascii="Aptos Narrow" w:eastAsia="Times New Roman" w:hAnsi="Aptos Narrow" w:cs="Times New Roman"/>
                <w:b/>
                <w:bCs/>
                <w:color w:val="FFFFFF"/>
                <w:sz w:val="18"/>
                <w:szCs w:val="18"/>
                <w:lang w:val="en-US"/>
              </w:rPr>
              <w:t>To (m)</w:t>
            </w:r>
          </w:p>
        </w:tc>
        <w:tc>
          <w:tcPr>
            <w:tcW w:w="1347" w:type="dxa"/>
            <w:shd w:val="clear" w:color="4EA72E" w:fill="4EA72E"/>
            <w:noWrap/>
            <w:vAlign w:val="bottom"/>
            <w:hideMark/>
          </w:tcPr>
          <w:p w14:paraId="195FE01E" w14:textId="77777777" w:rsidR="007847FD" w:rsidRPr="003A24D2" w:rsidRDefault="007847FD" w:rsidP="003B5B3F">
            <w:pPr>
              <w:spacing w:after="0"/>
              <w:rPr>
                <w:rFonts w:ascii="Aptos Narrow" w:eastAsia="Times New Roman" w:hAnsi="Aptos Narrow" w:cs="Times New Roman"/>
                <w:b/>
                <w:bCs/>
                <w:color w:val="FFFFFF"/>
                <w:sz w:val="18"/>
                <w:szCs w:val="18"/>
                <w:lang w:val="en-US"/>
              </w:rPr>
            </w:pPr>
            <w:r w:rsidRPr="003A24D2">
              <w:rPr>
                <w:rFonts w:ascii="Aptos Narrow" w:eastAsia="Times New Roman" w:hAnsi="Aptos Narrow" w:cs="Times New Roman"/>
                <w:b/>
                <w:bCs/>
                <w:color w:val="FFFFFF"/>
                <w:sz w:val="18"/>
                <w:szCs w:val="18"/>
                <w:lang w:val="en-US"/>
              </w:rPr>
              <w:t>Length (m)</w:t>
            </w:r>
          </w:p>
        </w:tc>
        <w:tc>
          <w:tcPr>
            <w:tcW w:w="1437" w:type="dxa"/>
            <w:shd w:val="clear" w:color="4EA72E" w:fill="4EA72E"/>
            <w:noWrap/>
            <w:vAlign w:val="bottom"/>
            <w:hideMark/>
          </w:tcPr>
          <w:p w14:paraId="0E25A137" w14:textId="77777777" w:rsidR="007847FD" w:rsidRPr="003A24D2" w:rsidRDefault="007847FD" w:rsidP="003B5B3F">
            <w:pPr>
              <w:spacing w:after="0"/>
              <w:rPr>
                <w:rFonts w:ascii="Aptos Narrow" w:eastAsia="Times New Roman" w:hAnsi="Aptos Narrow" w:cs="Times New Roman"/>
                <w:b/>
                <w:bCs/>
                <w:color w:val="FFFFFF"/>
                <w:sz w:val="18"/>
                <w:szCs w:val="18"/>
                <w:lang w:val="en-US"/>
              </w:rPr>
            </w:pPr>
            <w:r w:rsidRPr="003A24D2">
              <w:rPr>
                <w:rFonts w:ascii="Aptos Narrow" w:eastAsia="Times New Roman" w:hAnsi="Aptos Narrow" w:cs="Times New Roman"/>
                <w:b/>
                <w:bCs/>
                <w:color w:val="FFFFFF"/>
                <w:sz w:val="18"/>
                <w:szCs w:val="18"/>
                <w:lang w:val="en-US"/>
              </w:rPr>
              <w:t>Au (g/t)</w:t>
            </w:r>
          </w:p>
        </w:tc>
      </w:tr>
      <w:tr w:rsidR="007847FD" w:rsidRPr="000579E0" w14:paraId="39508E0E" w14:textId="77777777" w:rsidTr="003B5B3F">
        <w:trPr>
          <w:trHeight w:val="233"/>
          <w:jc w:val="center"/>
        </w:trPr>
        <w:tc>
          <w:tcPr>
            <w:tcW w:w="1955" w:type="dxa"/>
            <w:shd w:val="clear" w:color="auto" w:fill="auto"/>
            <w:noWrap/>
            <w:vAlign w:val="bottom"/>
            <w:hideMark/>
          </w:tcPr>
          <w:p w14:paraId="0E7B409A"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SH07DD001</w:t>
            </w:r>
          </w:p>
        </w:tc>
        <w:tc>
          <w:tcPr>
            <w:tcW w:w="1108" w:type="dxa"/>
            <w:shd w:val="clear" w:color="auto" w:fill="auto"/>
            <w:noWrap/>
            <w:vAlign w:val="bottom"/>
            <w:hideMark/>
          </w:tcPr>
          <w:p w14:paraId="296A1FA0"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45.0 </w:t>
            </w:r>
          </w:p>
        </w:tc>
        <w:tc>
          <w:tcPr>
            <w:tcW w:w="1257" w:type="dxa"/>
            <w:shd w:val="clear" w:color="auto" w:fill="auto"/>
            <w:noWrap/>
            <w:vAlign w:val="bottom"/>
            <w:hideMark/>
          </w:tcPr>
          <w:p w14:paraId="674C0222"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248.0 </w:t>
            </w:r>
          </w:p>
        </w:tc>
        <w:tc>
          <w:tcPr>
            <w:tcW w:w="1347" w:type="dxa"/>
            <w:shd w:val="clear" w:color="auto" w:fill="auto"/>
            <w:noWrap/>
            <w:vAlign w:val="bottom"/>
            <w:hideMark/>
          </w:tcPr>
          <w:p w14:paraId="69FAB75A"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203.0 </w:t>
            </w:r>
          </w:p>
        </w:tc>
        <w:tc>
          <w:tcPr>
            <w:tcW w:w="1437" w:type="dxa"/>
            <w:shd w:val="clear" w:color="auto" w:fill="auto"/>
            <w:noWrap/>
            <w:vAlign w:val="bottom"/>
            <w:hideMark/>
          </w:tcPr>
          <w:p w14:paraId="5258F234"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1.70 </w:t>
            </w:r>
          </w:p>
        </w:tc>
      </w:tr>
      <w:tr w:rsidR="007847FD" w:rsidRPr="000579E0" w14:paraId="1015271F" w14:textId="77777777" w:rsidTr="003B5B3F">
        <w:trPr>
          <w:trHeight w:val="233"/>
          <w:jc w:val="center"/>
        </w:trPr>
        <w:tc>
          <w:tcPr>
            <w:tcW w:w="1955" w:type="dxa"/>
            <w:shd w:val="clear" w:color="auto" w:fill="auto"/>
            <w:noWrap/>
            <w:vAlign w:val="bottom"/>
            <w:hideMark/>
          </w:tcPr>
          <w:p w14:paraId="62668EC5"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Including</w:t>
            </w:r>
          </w:p>
        </w:tc>
        <w:tc>
          <w:tcPr>
            <w:tcW w:w="1108" w:type="dxa"/>
            <w:shd w:val="clear" w:color="auto" w:fill="auto"/>
            <w:noWrap/>
            <w:vAlign w:val="bottom"/>
            <w:hideMark/>
          </w:tcPr>
          <w:p w14:paraId="137FF3AF"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60.0 </w:t>
            </w:r>
          </w:p>
        </w:tc>
        <w:tc>
          <w:tcPr>
            <w:tcW w:w="1257" w:type="dxa"/>
            <w:shd w:val="clear" w:color="auto" w:fill="auto"/>
            <w:noWrap/>
            <w:vAlign w:val="bottom"/>
            <w:hideMark/>
          </w:tcPr>
          <w:p w14:paraId="2EB44B6E"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65.4 </w:t>
            </w:r>
          </w:p>
        </w:tc>
        <w:tc>
          <w:tcPr>
            <w:tcW w:w="1347" w:type="dxa"/>
            <w:shd w:val="clear" w:color="auto" w:fill="auto"/>
            <w:noWrap/>
            <w:vAlign w:val="bottom"/>
            <w:hideMark/>
          </w:tcPr>
          <w:p w14:paraId="55BE800B"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5.3 </w:t>
            </w:r>
          </w:p>
        </w:tc>
        <w:tc>
          <w:tcPr>
            <w:tcW w:w="1437" w:type="dxa"/>
            <w:shd w:val="clear" w:color="auto" w:fill="auto"/>
            <w:noWrap/>
            <w:vAlign w:val="bottom"/>
            <w:hideMark/>
          </w:tcPr>
          <w:p w14:paraId="084311F9"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8.19 </w:t>
            </w:r>
          </w:p>
        </w:tc>
      </w:tr>
      <w:tr w:rsidR="007847FD" w:rsidRPr="000579E0" w14:paraId="5A33AB5A" w14:textId="77777777" w:rsidTr="003B5B3F">
        <w:trPr>
          <w:trHeight w:val="233"/>
          <w:jc w:val="center"/>
        </w:trPr>
        <w:tc>
          <w:tcPr>
            <w:tcW w:w="1955" w:type="dxa"/>
            <w:shd w:val="clear" w:color="auto" w:fill="auto"/>
            <w:noWrap/>
            <w:vAlign w:val="bottom"/>
            <w:hideMark/>
          </w:tcPr>
          <w:p w14:paraId="168A8371"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Including</w:t>
            </w:r>
          </w:p>
        </w:tc>
        <w:tc>
          <w:tcPr>
            <w:tcW w:w="1108" w:type="dxa"/>
            <w:shd w:val="clear" w:color="auto" w:fill="auto"/>
            <w:noWrap/>
            <w:vAlign w:val="bottom"/>
            <w:hideMark/>
          </w:tcPr>
          <w:p w14:paraId="5AE13BD9"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107.0 </w:t>
            </w:r>
          </w:p>
        </w:tc>
        <w:tc>
          <w:tcPr>
            <w:tcW w:w="1257" w:type="dxa"/>
            <w:shd w:val="clear" w:color="auto" w:fill="auto"/>
            <w:noWrap/>
            <w:vAlign w:val="bottom"/>
            <w:hideMark/>
          </w:tcPr>
          <w:p w14:paraId="0DC1DDB6"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131.0 </w:t>
            </w:r>
          </w:p>
        </w:tc>
        <w:tc>
          <w:tcPr>
            <w:tcW w:w="1347" w:type="dxa"/>
            <w:shd w:val="clear" w:color="auto" w:fill="auto"/>
            <w:noWrap/>
            <w:vAlign w:val="bottom"/>
            <w:hideMark/>
          </w:tcPr>
          <w:p w14:paraId="6163357B"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24.0 </w:t>
            </w:r>
          </w:p>
        </w:tc>
        <w:tc>
          <w:tcPr>
            <w:tcW w:w="1437" w:type="dxa"/>
            <w:shd w:val="clear" w:color="auto" w:fill="auto"/>
            <w:noWrap/>
            <w:vAlign w:val="bottom"/>
            <w:hideMark/>
          </w:tcPr>
          <w:p w14:paraId="36078986"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3.20 </w:t>
            </w:r>
          </w:p>
        </w:tc>
      </w:tr>
      <w:tr w:rsidR="007847FD" w:rsidRPr="000579E0" w14:paraId="54FECF66" w14:textId="77777777" w:rsidTr="003B5B3F">
        <w:trPr>
          <w:trHeight w:val="233"/>
          <w:jc w:val="center"/>
        </w:trPr>
        <w:tc>
          <w:tcPr>
            <w:tcW w:w="1955" w:type="dxa"/>
            <w:shd w:val="clear" w:color="auto" w:fill="auto"/>
            <w:noWrap/>
            <w:vAlign w:val="bottom"/>
            <w:hideMark/>
          </w:tcPr>
          <w:p w14:paraId="0B417517"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SH07DD002</w:t>
            </w:r>
          </w:p>
        </w:tc>
        <w:tc>
          <w:tcPr>
            <w:tcW w:w="1108" w:type="dxa"/>
            <w:shd w:val="clear" w:color="auto" w:fill="auto"/>
            <w:noWrap/>
            <w:vAlign w:val="bottom"/>
            <w:hideMark/>
          </w:tcPr>
          <w:p w14:paraId="69359B37"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24.0 </w:t>
            </w:r>
          </w:p>
        </w:tc>
        <w:tc>
          <w:tcPr>
            <w:tcW w:w="1257" w:type="dxa"/>
            <w:shd w:val="clear" w:color="auto" w:fill="auto"/>
            <w:noWrap/>
            <w:vAlign w:val="bottom"/>
            <w:hideMark/>
          </w:tcPr>
          <w:p w14:paraId="48907F19"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67.0 </w:t>
            </w:r>
          </w:p>
        </w:tc>
        <w:tc>
          <w:tcPr>
            <w:tcW w:w="1347" w:type="dxa"/>
            <w:shd w:val="clear" w:color="auto" w:fill="auto"/>
            <w:noWrap/>
            <w:vAlign w:val="bottom"/>
            <w:hideMark/>
          </w:tcPr>
          <w:p w14:paraId="6A68AE0F"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43.0 </w:t>
            </w:r>
          </w:p>
        </w:tc>
        <w:tc>
          <w:tcPr>
            <w:tcW w:w="1437" w:type="dxa"/>
            <w:shd w:val="clear" w:color="auto" w:fill="auto"/>
            <w:noWrap/>
            <w:vAlign w:val="bottom"/>
            <w:hideMark/>
          </w:tcPr>
          <w:p w14:paraId="4CEA5655"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1.02 </w:t>
            </w:r>
          </w:p>
        </w:tc>
      </w:tr>
      <w:tr w:rsidR="007847FD" w:rsidRPr="000579E0" w14:paraId="74A86D23" w14:textId="77777777" w:rsidTr="003B5B3F">
        <w:trPr>
          <w:trHeight w:val="233"/>
          <w:jc w:val="center"/>
        </w:trPr>
        <w:tc>
          <w:tcPr>
            <w:tcW w:w="1955" w:type="dxa"/>
            <w:shd w:val="clear" w:color="auto" w:fill="auto"/>
            <w:noWrap/>
            <w:vAlign w:val="bottom"/>
            <w:hideMark/>
          </w:tcPr>
          <w:p w14:paraId="4E6751B2"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SH07DD002 </w:t>
            </w:r>
          </w:p>
        </w:tc>
        <w:tc>
          <w:tcPr>
            <w:tcW w:w="1108" w:type="dxa"/>
            <w:shd w:val="clear" w:color="auto" w:fill="auto"/>
            <w:noWrap/>
            <w:vAlign w:val="bottom"/>
            <w:hideMark/>
          </w:tcPr>
          <w:p w14:paraId="6CB60B1A"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89.0 </w:t>
            </w:r>
          </w:p>
        </w:tc>
        <w:tc>
          <w:tcPr>
            <w:tcW w:w="1257" w:type="dxa"/>
            <w:shd w:val="clear" w:color="auto" w:fill="auto"/>
            <w:noWrap/>
            <w:vAlign w:val="bottom"/>
            <w:hideMark/>
          </w:tcPr>
          <w:p w14:paraId="1ED4E4CD"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109.0 </w:t>
            </w:r>
          </w:p>
        </w:tc>
        <w:tc>
          <w:tcPr>
            <w:tcW w:w="1347" w:type="dxa"/>
            <w:shd w:val="clear" w:color="auto" w:fill="auto"/>
            <w:noWrap/>
            <w:vAlign w:val="bottom"/>
            <w:hideMark/>
          </w:tcPr>
          <w:p w14:paraId="685A45CA"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20.0 </w:t>
            </w:r>
          </w:p>
        </w:tc>
        <w:tc>
          <w:tcPr>
            <w:tcW w:w="1437" w:type="dxa"/>
            <w:shd w:val="clear" w:color="auto" w:fill="auto"/>
            <w:noWrap/>
            <w:vAlign w:val="bottom"/>
            <w:hideMark/>
          </w:tcPr>
          <w:p w14:paraId="6A3454DC"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3.35 </w:t>
            </w:r>
          </w:p>
        </w:tc>
      </w:tr>
      <w:tr w:rsidR="007847FD" w:rsidRPr="000579E0" w14:paraId="4CD758AE" w14:textId="77777777" w:rsidTr="003B5B3F">
        <w:trPr>
          <w:trHeight w:val="233"/>
          <w:jc w:val="center"/>
        </w:trPr>
        <w:tc>
          <w:tcPr>
            <w:tcW w:w="1955" w:type="dxa"/>
            <w:shd w:val="clear" w:color="auto" w:fill="auto"/>
            <w:noWrap/>
            <w:vAlign w:val="bottom"/>
            <w:hideMark/>
          </w:tcPr>
          <w:p w14:paraId="7C6FC329"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SH07DD002</w:t>
            </w:r>
          </w:p>
        </w:tc>
        <w:tc>
          <w:tcPr>
            <w:tcW w:w="1108" w:type="dxa"/>
            <w:shd w:val="clear" w:color="auto" w:fill="auto"/>
            <w:noWrap/>
            <w:vAlign w:val="bottom"/>
            <w:hideMark/>
          </w:tcPr>
          <w:p w14:paraId="669EE7DD"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117.7 </w:t>
            </w:r>
          </w:p>
        </w:tc>
        <w:tc>
          <w:tcPr>
            <w:tcW w:w="1257" w:type="dxa"/>
            <w:shd w:val="clear" w:color="auto" w:fill="auto"/>
            <w:noWrap/>
            <w:vAlign w:val="bottom"/>
            <w:hideMark/>
          </w:tcPr>
          <w:p w14:paraId="7931FFBE"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180.0 </w:t>
            </w:r>
          </w:p>
        </w:tc>
        <w:tc>
          <w:tcPr>
            <w:tcW w:w="1347" w:type="dxa"/>
            <w:shd w:val="clear" w:color="auto" w:fill="auto"/>
            <w:noWrap/>
            <w:vAlign w:val="bottom"/>
            <w:hideMark/>
          </w:tcPr>
          <w:p w14:paraId="0E2D22E6"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62.3 </w:t>
            </w:r>
          </w:p>
        </w:tc>
        <w:tc>
          <w:tcPr>
            <w:tcW w:w="1437" w:type="dxa"/>
            <w:shd w:val="clear" w:color="auto" w:fill="auto"/>
            <w:noWrap/>
            <w:vAlign w:val="bottom"/>
            <w:hideMark/>
          </w:tcPr>
          <w:p w14:paraId="74A0833B"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1.81 </w:t>
            </w:r>
          </w:p>
        </w:tc>
      </w:tr>
      <w:tr w:rsidR="007847FD" w:rsidRPr="000579E0" w14:paraId="36B058E9" w14:textId="77777777" w:rsidTr="003B5B3F">
        <w:trPr>
          <w:trHeight w:val="233"/>
          <w:jc w:val="center"/>
        </w:trPr>
        <w:tc>
          <w:tcPr>
            <w:tcW w:w="1955" w:type="dxa"/>
            <w:shd w:val="clear" w:color="auto" w:fill="auto"/>
            <w:noWrap/>
            <w:vAlign w:val="bottom"/>
            <w:hideMark/>
          </w:tcPr>
          <w:p w14:paraId="7C71FAC7"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Including</w:t>
            </w:r>
          </w:p>
        </w:tc>
        <w:tc>
          <w:tcPr>
            <w:tcW w:w="1108" w:type="dxa"/>
            <w:shd w:val="clear" w:color="auto" w:fill="auto"/>
            <w:noWrap/>
            <w:vAlign w:val="bottom"/>
            <w:hideMark/>
          </w:tcPr>
          <w:p w14:paraId="3BAE8FE4"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153.0 </w:t>
            </w:r>
          </w:p>
        </w:tc>
        <w:tc>
          <w:tcPr>
            <w:tcW w:w="1257" w:type="dxa"/>
            <w:shd w:val="clear" w:color="auto" w:fill="auto"/>
            <w:noWrap/>
            <w:vAlign w:val="bottom"/>
            <w:hideMark/>
          </w:tcPr>
          <w:p w14:paraId="32D2F160"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160.0 </w:t>
            </w:r>
          </w:p>
        </w:tc>
        <w:tc>
          <w:tcPr>
            <w:tcW w:w="1347" w:type="dxa"/>
            <w:shd w:val="clear" w:color="auto" w:fill="auto"/>
            <w:noWrap/>
            <w:vAlign w:val="bottom"/>
            <w:hideMark/>
          </w:tcPr>
          <w:p w14:paraId="6182B7A8"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7.0 </w:t>
            </w:r>
          </w:p>
        </w:tc>
        <w:tc>
          <w:tcPr>
            <w:tcW w:w="1437" w:type="dxa"/>
            <w:shd w:val="clear" w:color="auto" w:fill="auto"/>
            <w:noWrap/>
            <w:vAlign w:val="bottom"/>
            <w:hideMark/>
          </w:tcPr>
          <w:p w14:paraId="6ECC8251" w14:textId="77777777" w:rsidR="007847FD" w:rsidRPr="003A24D2" w:rsidRDefault="007847FD" w:rsidP="003B5B3F">
            <w:pPr>
              <w:spacing w:after="0"/>
              <w:rPr>
                <w:rFonts w:ascii="Aptos Narrow" w:eastAsia="Times New Roman" w:hAnsi="Aptos Narrow" w:cs="Times New Roman"/>
                <w:i/>
                <w:iCs/>
                <w:color w:val="000000"/>
                <w:sz w:val="18"/>
                <w:szCs w:val="18"/>
                <w:lang w:val="en-US"/>
              </w:rPr>
            </w:pPr>
            <w:r w:rsidRPr="003A24D2">
              <w:rPr>
                <w:rFonts w:ascii="Aptos Narrow" w:eastAsia="Times New Roman" w:hAnsi="Aptos Narrow" w:cs="Times New Roman"/>
                <w:i/>
                <w:iCs/>
                <w:color w:val="000000"/>
                <w:sz w:val="18"/>
                <w:szCs w:val="18"/>
                <w:lang w:val="en-US"/>
              </w:rPr>
              <w:t xml:space="preserve">           7.70 </w:t>
            </w:r>
          </w:p>
        </w:tc>
      </w:tr>
      <w:tr w:rsidR="007847FD" w:rsidRPr="000579E0" w14:paraId="75A8B33C" w14:textId="77777777" w:rsidTr="003B5B3F">
        <w:trPr>
          <w:trHeight w:val="233"/>
          <w:jc w:val="center"/>
        </w:trPr>
        <w:tc>
          <w:tcPr>
            <w:tcW w:w="1955" w:type="dxa"/>
            <w:shd w:val="clear" w:color="auto" w:fill="auto"/>
            <w:noWrap/>
            <w:vAlign w:val="bottom"/>
            <w:hideMark/>
          </w:tcPr>
          <w:p w14:paraId="264FA34F"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SH07DD002</w:t>
            </w:r>
          </w:p>
        </w:tc>
        <w:tc>
          <w:tcPr>
            <w:tcW w:w="1108" w:type="dxa"/>
            <w:shd w:val="clear" w:color="auto" w:fill="auto"/>
            <w:noWrap/>
            <w:vAlign w:val="bottom"/>
            <w:hideMark/>
          </w:tcPr>
          <w:p w14:paraId="5838DE2C"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227.7 </w:t>
            </w:r>
          </w:p>
        </w:tc>
        <w:tc>
          <w:tcPr>
            <w:tcW w:w="1257" w:type="dxa"/>
            <w:shd w:val="clear" w:color="auto" w:fill="auto"/>
            <w:noWrap/>
            <w:vAlign w:val="bottom"/>
            <w:hideMark/>
          </w:tcPr>
          <w:p w14:paraId="18B01AF9"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268.0 </w:t>
            </w:r>
          </w:p>
        </w:tc>
        <w:tc>
          <w:tcPr>
            <w:tcW w:w="1347" w:type="dxa"/>
            <w:shd w:val="clear" w:color="auto" w:fill="auto"/>
            <w:noWrap/>
            <w:vAlign w:val="bottom"/>
            <w:hideMark/>
          </w:tcPr>
          <w:p w14:paraId="370785E5"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40.3 </w:t>
            </w:r>
          </w:p>
        </w:tc>
        <w:tc>
          <w:tcPr>
            <w:tcW w:w="1437" w:type="dxa"/>
            <w:shd w:val="clear" w:color="auto" w:fill="auto"/>
            <w:noWrap/>
            <w:vAlign w:val="bottom"/>
            <w:hideMark/>
          </w:tcPr>
          <w:p w14:paraId="36A867F3"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0.52 </w:t>
            </w:r>
          </w:p>
        </w:tc>
      </w:tr>
      <w:tr w:rsidR="007847FD" w:rsidRPr="000579E0" w14:paraId="1240A20B" w14:textId="77777777" w:rsidTr="003B5B3F">
        <w:trPr>
          <w:trHeight w:val="233"/>
          <w:jc w:val="center"/>
        </w:trPr>
        <w:tc>
          <w:tcPr>
            <w:tcW w:w="1955" w:type="dxa"/>
            <w:shd w:val="clear" w:color="auto" w:fill="auto"/>
            <w:noWrap/>
            <w:vAlign w:val="bottom"/>
            <w:hideMark/>
          </w:tcPr>
          <w:p w14:paraId="63F0FC75"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SH07DD002</w:t>
            </w:r>
          </w:p>
        </w:tc>
        <w:tc>
          <w:tcPr>
            <w:tcW w:w="1108" w:type="dxa"/>
            <w:shd w:val="clear" w:color="auto" w:fill="auto"/>
            <w:noWrap/>
            <w:vAlign w:val="bottom"/>
            <w:hideMark/>
          </w:tcPr>
          <w:p w14:paraId="2F11F17E"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443.0 </w:t>
            </w:r>
          </w:p>
        </w:tc>
        <w:tc>
          <w:tcPr>
            <w:tcW w:w="1257" w:type="dxa"/>
            <w:shd w:val="clear" w:color="auto" w:fill="auto"/>
            <w:noWrap/>
            <w:vAlign w:val="bottom"/>
            <w:hideMark/>
          </w:tcPr>
          <w:p w14:paraId="5E6A3235"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473.0 </w:t>
            </w:r>
          </w:p>
        </w:tc>
        <w:tc>
          <w:tcPr>
            <w:tcW w:w="1347" w:type="dxa"/>
            <w:shd w:val="clear" w:color="auto" w:fill="auto"/>
            <w:noWrap/>
            <w:vAlign w:val="bottom"/>
            <w:hideMark/>
          </w:tcPr>
          <w:p w14:paraId="2B150761"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30.0 </w:t>
            </w:r>
          </w:p>
        </w:tc>
        <w:tc>
          <w:tcPr>
            <w:tcW w:w="1437" w:type="dxa"/>
            <w:shd w:val="clear" w:color="auto" w:fill="auto"/>
            <w:noWrap/>
            <w:vAlign w:val="bottom"/>
            <w:hideMark/>
          </w:tcPr>
          <w:p w14:paraId="60C8CBD5" w14:textId="77777777" w:rsidR="007847FD" w:rsidRPr="003A24D2" w:rsidRDefault="007847FD" w:rsidP="003B5B3F">
            <w:pPr>
              <w:spacing w:after="0"/>
              <w:rPr>
                <w:rFonts w:ascii="Aptos Narrow" w:eastAsia="Times New Roman" w:hAnsi="Aptos Narrow" w:cs="Times New Roman"/>
                <w:color w:val="000000"/>
                <w:sz w:val="18"/>
                <w:szCs w:val="18"/>
                <w:lang w:val="en-US"/>
              </w:rPr>
            </w:pPr>
            <w:r w:rsidRPr="003A24D2">
              <w:rPr>
                <w:rFonts w:ascii="Aptos Narrow" w:eastAsia="Times New Roman" w:hAnsi="Aptos Narrow" w:cs="Times New Roman"/>
                <w:color w:val="000000"/>
                <w:sz w:val="18"/>
                <w:szCs w:val="18"/>
                <w:lang w:val="en-US"/>
              </w:rPr>
              <w:t xml:space="preserve">           1.46 </w:t>
            </w:r>
          </w:p>
        </w:tc>
      </w:tr>
    </w:tbl>
    <w:p w14:paraId="5495368B" w14:textId="77777777" w:rsidR="007847FD" w:rsidRDefault="007847FD" w:rsidP="007847FD"/>
    <w:p w14:paraId="7B5A5553" w14:textId="77777777" w:rsidR="007847FD" w:rsidRDefault="007847FD" w:rsidP="007847FD">
      <w:pPr>
        <w:pStyle w:val="Caption"/>
        <w:keepNext/>
        <w:jc w:val="center"/>
      </w:pPr>
      <w:r>
        <w:t xml:space="preserve">Table </w:t>
      </w:r>
      <w:r>
        <w:fldChar w:fldCharType="begin"/>
      </w:r>
      <w:r>
        <w:instrText xml:space="preserve"> SEQ Table \* ARABIC </w:instrText>
      </w:r>
      <w:r>
        <w:fldChar w:fldCharType="separate"/>
      </w:r>
      <w:r>
        <w:rPr>
          <w:noProof/>
        </w:rPr>
        <w:t>3</w:t>
      </w:r>
      <w:r>
        <w:fldChar w:fldCharType="end"/>
      </w:r>
      <w:r>
        <w:rPr>
          <w:lang w:val="en-US"/>
        </w:rPr>
        <w:t xml:space="preserve"> Wadi Al Jaww Channel Sample Collar location</w:t>
      </w:r>
    </w:p>
    <w:tbl>
      <w:tblPr>
        <w:tblW w:w="10574" w:type="dxa"/>
        <w:jc w:val="center"/>
        <w:tblLook w:val="04A0" w:firstRow="1" w:lastRow="0" w:firstColumn="1" w:lastColumn="0" w:noHBand="0" w:noVBand="1"/>
      </w:tblPr>
      <w:tblGrid>
        <w:gridCol w:w="1500"/>
        <w:gridCol w:w="1038"/>
        <w:gridCol w:w="936"/>
        <w:gridCol w:w="1126"/>
        <w:gridCol w:w="657"/>
        <w:gridCol w:w="1507"/>
        <w:gridCol w:w="1039"/>
        <w:gridCol w:w="953"/>
        <w:gridCol w:w="640"/>
        <w:gridCol w:w="1178"/>
      </w:tblGrid>
      <w:tr w:rsidR="007847FD" w:rsidRPr="003A24D2" w14:paraId="305B65BF"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53884165"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sidRPr="003A24D2">
              <w:rPr>
                <w:rFonts w:ascii="Aptos Narrow" w:eastAsia="Times New Roman" w:hAnsi="Aptos Narrow" w:cs="Times New Roman"/>
                <w:b/>
                <w:bCs/>
                <w:color w:val="FFFFFF"/>
                <w:sz w:val="18"/>
                <w:szCs w:val="18"/>
                <w:lang w:val="en-US"/>
              </w:rPr>
              <w:t>Hole ID</w:t>
            </w:r>
          </w:p>
        </w:tc>
        <w:tc>
          <w:tcPr>
            <w:tcW w:w="1038"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2D419D47"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sidRPr="00A23F5C">
              <w:rPr>
                <w:rFonts w:ascii="Aptos Narrow" w:eastAsia="Times New Roman" w:hAnsi="Aptos Narrow" w:cs="Times New Roman"/>
                <w:b/>
                <w:bCs/>
                <w:color w:val="FFFFFF"/>
                <w:sz w:val="18"/>
                <w:szCs w:val="18"/>
                <w:lang w:val="en-US"/>
              </w:rPr>
              <w:t>max_depth</w:t>
            </w:r>
          </w:p>
        </w:tc>
        <w:tc>
          <w:tcPr>
            <w:tcW w:w="936"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493B819D"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sidRPr="00A23F5C">
              <w:rPr>
                <w:rFonts w:ascii="Aptos Narrow" w:eastAsia="Times New Roman" w:hAnsi="Aptos Narrow" w:cs="Times New Roman"/>
                <w:b/>
                <w:bCs/>
                <w:color w:val="FFFFFF"/>
                <w:sz w:val="18"/>
                <w:szCs w:val="18"/>
                <w:lang w:val="en-US"/>
              </w:rPr>
              <w:t xml:space="preserve"> x </w:t>
            </w:r>
          </w:p>
        </w:tc>
        <w:tc>
          <w:tcPr>
            <w:tcW w:w="1126"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0AE82F31"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sidRPr="00A23F5C">
              <w:rPr>
                <w:rFonts w:ascii="Aptos Narrow" w:eastAsia="Times New Roman" w:hAnsi="Aptos Narrow" w:cs="Times New Roman"/>
                <w:b/>
                <w:bCs/>
                <w:color w:val="FFFFFF"/>
                <w:sz w:val="18"/>
                <w:szCs w:val="18"/>
                <w:lang w:val="en-US"/>
              </w:rPr>
              <w:t xml:space="preserve"> y </w:t>
            </w:r>
          </w:p>
        </w:tc>
        <w:tc>
          <w:tcPr>
            <w:tcW w:w="657"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08672566"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sidRPr="00A23F5C">
              <w:rPr>
                <w:rFonts w:ascii="Aptos Narrow" w:eastAsia="Times New Roman" w:hAnsi="Aptos Narrow" w:cs="Times New Roman"/>
                <w:b/>
                <w:bCs/>
                <w:color w:val="FFFFFF"/>
                <w:sz w:val="18"/>
                <w:szCs w:val="18"/>
                <w:lang w:val="en-US"/>
              </w:rPr>
              <w:t xml:space="preserve"> z </w:t>
            </w:r>
          </w:p>
        </w:tc>
        <w:tc>
          <w:tcPr>
            <w:tcW w:w="1507"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78126F2D"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sidRPr="006A1D9B">
              <w:rPr>
                <w:rFonts w:ascii="Aptos Narrow" w:eastAsia="Times New Roman" w:hAnsi="Aptos Narrow" w:cs="Times New Roman"/>
                <w:b/>
                <w:bCs/>
                <w:color w:val="FFFFFF"/>
                <w:szCs w:val="20"/>
                <w:lang w:val="en-US"/>
              </w:rPr>
              <w:t>Program</w:t>
            </w:r>
            <w:r>
              <w:rPr>
                <w:rFonts w:ascii="Aptos Narrow" w:eastAsia="Times New Roman" w:hAnsi="Aptos Narrow" w:cs="Times New Roman"/>
                <w:b/>
                <w:bCs/>
                <w:color w:val="FFFFFF"/>
                <w:szCs w:val="20"/>
                <w:lang w:val="en-US"/>
              </w:rPr>
              <w:t xml:space="preserve"> Stage</w:t>
            </w:r>
          </w:p>
        </w:tc>
        <w:tc>
          <w:tcPr>
            <w:tcW w:w="1039"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7640093B"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sidRPr="00A23F5C">
              <w:rPr>
                <w:rFonts w:ascii="Aptos Narrow" w:eastAsia="Times New Roman" w:hAnsi="Aptos Narrow" w:cs="Times New Roman"/>
                <w:b/>
                <w:bCs/>
                <w:color w:val="FFFFFF"/>
                <w:sz w:val="18"/>
                <w:szCs w:val="18"/>
                <w:lang w:val="en-US"/>
              </w:rPr>
              <w:t>hole type</w:t>
            </w:r>
          </w:p>
        </w:tc>
        <w:tc>
          <w:tcPr>
            <w:tcW w:w="953"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11AF0E41"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sidRPr="00A23F5C">
              <w:rPr>
                <w:rFonts w:ascii="Aptos Narrow" w:eastAsia="Times New Roman" w:hAnsi="Aptos Narrow" w:cs="Times New Roman"/>
                <w:b/>
                <w:bCs/>
                <w:color w:val="FFFFFF"/>
                <w:sz w:val="18"/>
                <w:szCs w:val="18"/>
                <w:lang w:val="en-US"/>
              </w:rPr>
              <w:t>azimuth</w:t>
            </w:r>
          </w:p>
        </w:tc>
        <w:tc>
          <w:tcPr>
            <w:tcW w:w="640"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03C283CC"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sidRPr="00A23F5C">
              <w:rPr>
                <w:rFonts w:ascii="Aptos Narrow" w:eastAsia="Times New Roman" w:hAnsi="Aptos Narrow" w:cs="Times New Roman"/>
                <w:b/>
                <w:bCs/>
                <w:color w:val="FFFFFF"/>
                <w:sz w:val="18"/>
                <w:szCs w:val="18"/>
                <w:lang w:val="en-US"/>
              </w:rPr>
              <w:t>dip</w:t>
            </w:r>
          </w:p>
        </w:tc>
        <w:tc>
          <w:tcPr>
            <w:tcW w:w="1178" w:type="dxa"/>
            <w:tcBorders>
              <w:top w:val="single" w:sz="4" w:space="0" w:color="auto"/>
              <w:left w:val="single" w:sz="4" w:space="0" w:color="auto"/>
              <w:bottom w:val="single" w:sz="4" w:space="0" w:color="auto"/>
              <w:right w:val="single" w:sz="4" w:space="0" w:color="auto"/>
            </w:tcBorders>
            <w:shd w:val="clear" w:color="auto" w:fill="4EA72E" w:themeFill="accent6"/>
            <w:noWrap/>
            <w:vAlign w:val="bottom"/>
            <w:hideMark/>
          </w:tcPr>
          <w:p w14:paraId="5846D4B7" w14:textId="77777777" w:rsidR="007847FD" w:rsidRPr="00A23F5C" w:rsidRDefault="007847FD" w:rsidP="003B5B3F">
            <w:pPr>
              <w:spacing w:after="0"/>
              <w:rPr>
                <w:rFonts w:ascii="Aptos Narrow" w:eastAsia="Times New Roman" w:hAnsi="Aptos Narrow" w:cs="Times New Roman"/>
                <w:b/>
                <w:bCs/>
                <w:color w:val="FFFFFF"/>
                <w:sz w:val="18"/>
                <w:szCs w:val="18"/>
                <w:lang w:val="en-US"/>
              </w:rPr>
            </w:pPr>
            <w:r>
              <w:rPr>
                <w:rFonts w:ascii="Aptos Narrow" w:eastAsia="Times New Roman" w:hAnsi="Aptos Narrow" w:cs="Times New Roman"/>
                <w:b/>
                <w:bCs/>
                <w:color w:val="FFFFFF"/>
                <w:szCs w:val="20"/>
                <w:lang w:val="en-US"/>
              </w:rPr>
              <w:t>Cordinate System</w:t>
            </w:r>
          </w:p>
        </w:tc>
      </w:tr>
      <w:tr w:rsidR="007847FD" w:rsidRPr="003A24D2" w14:paraId="2C554966"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5B0E21"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SH07CH001</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39D53D"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121.37</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B6696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580,086</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F6E2B1"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2,491,366</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3A2A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742</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64A2C8"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C5CDF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7C3BFF"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163</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16A4B6"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13</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B9DCB8"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4AF8E4EC"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D9DA1"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SH07CH002</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C4FF94"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221.65</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DC5A8"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580,122</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E47F4B"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2,491,216</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4421B"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765</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98C1D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50A872"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5B13B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183</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109924"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19</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CFDA5D"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4217BF24"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7301FB"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SH07CH003</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1FE8A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33.66</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2C384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580,164</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783384"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2,491,027</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5D377B"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786</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262C25"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7865B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E2713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117</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D7E0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15</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8BDD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0CD5781A"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CA058"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SH07CH004</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028C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108.85</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87DA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580,196</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5A68EF"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2,491,031</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861C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802</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CF28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0104F4"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27CB4D"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89</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F0778"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27</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BE2671"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20E18376"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6D26A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SH07CH006</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0D12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77.94</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13873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580,286</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7844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2,491,086</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DB5BB6"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838</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5A1182"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E918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00BD34"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293</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76EB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16</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E97C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1FE3F0B9"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7D1B5D"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SH07CH007</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8F7BE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4.99</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921555"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580,313</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491661"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2,491,076</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EC3912"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832</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5612FF"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23A7F6"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EF74B6"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294</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5D5CFD"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C4F47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603D5CA3"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96A694"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SH07CH008</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81262C"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142.16</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A25ED8"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580,300</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D5DC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2,491,181</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A3AF46"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866</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8806A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7499B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3A329C"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117</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473CC"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25</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B385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2E97A7CC"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7BCCC"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SH07CH009</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2A0F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41.31</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D53EA8"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580,386</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D1653D"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2,491,207</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25941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894</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F731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DF752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9D2DCF"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25</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F3283B"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13</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5B249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2BC3B25D"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0D0904"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SH07CH010</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F9202"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49.07</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1090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580,406</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3340A2"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2,491,267</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35574"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901</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320B5F"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EB194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468A5"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117</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F44DB"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19</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140E8"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107EC98D"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9E687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SH07CH011</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A4612"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54.84</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FED3C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580,479</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FCF8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2,491,267</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8BA5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919</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318F11"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4A7BDC"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E63F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315</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CEBC2D"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14</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5C6F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1D330FBF"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06D53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SH07CH012</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E017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48.62</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FACFF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580,494</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0987E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2,491,338</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B0A316"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929</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6D2C8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511C7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BDE5B6"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180</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2240D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9</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1E947B"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3C6B50B8"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FDCC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SH07CH013</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F61961"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1.02</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38A2EF"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580,520</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CF9F0B"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2,491,294</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1511FC"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941</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5FB1BC"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26B3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46EDE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90</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0714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12</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A5C45F"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52939A6B"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04855F"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SH07CH014</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7D883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21.91</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0A097"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580,567</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7DBA8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2,492,000</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A196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902</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5C382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37740"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62C3E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194</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02D6FA"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6</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FE0F08"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r w:rsidR="007847FD" w:rsidRPr="003A24D2" w14:paraId="287E05CC" w14:textId="77777777" w:rsidTr="003B5B3F">
        <w:trPr>
          <w:trHeight w:val="130"/>
          <w:jc w:val="center"/>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97E606"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SH07CH015</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601DE9"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40.38</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687A85"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580,532</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0F1FE"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2,492,031</w:t>
            </w:r>
          </w:p>
        </w:tc>
        <w:tc>
          <w:tcPr>
            <w:tcW w:w="6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08786"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884</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1BE8E2"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EXP</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C211B2"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Channel</w:t>
            </w:r>
          </w:p>
        </w:tc>
        <w:tc>
          <w:tcPr>
            <w:tcW w:w="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2DD393"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33</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1A7642"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4</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37A33C" w14:textId="77777777" w:rsidR="007847FD" w:rsidRPr="00A23F5C" w:rsidRDefault="007847FD" w:rsidP="003B5B3F">
            <w:pPr>
              <w:spacing w:after="0"/>
              <w:jc w:val="center"/>
              <w:rPr>
                <w:rFonts w:ascii="Aptos Narrow" w:eastAsia="Times New Roman" w:hAnsi="Aptos Narrow" w:cs="Times New Roman"/>
                <w:color w:val="000000"/>
                <w:sz w:val="18"/>
                <w:szCs w:val="18"/>
                <w:lang w:val="en-US"/>
              </w:rPr>
            </w:pPr>
            <w:r w:rsidRPr="00A23F5C">
              <w:rPr>
                <w:rFonts w:ascii="Aptos Narrow" w:eastAsia="Times New Roman" w:hAnsi="Aptos Narrow" w:cs="Times New Roman"/>
                <w:color w:val="000000"/>
                <w:sz w:val="18"/>
                <w:szCs w:val="18"/>
                <w:lang w:val="en-US"/>
              </w:rPr>
              <w:t>UTM84-Z37N</w:t>
            </w:r>
          </w:p>
        </w:tc>
      </w:tr>
    </w:tbl>
    <w:p w14:paraId="05B12427" w14:textId="77777777" w:rsidR="007847FD" w:rsidRDefault="007847FD" w:rsidP="007847FD"/>
    <w:p w14:paraId="77C492C1" w14:textId="77777777" w:rsidR="007847FD" w:rsidRDefault="007847FD" w:rsidP="007847FD">
      <w:pPr>
        <w:pStyle w:val="Caption"/>
        <w:keepNext/>
        <w:jc w:val="center"/>
      </w:pPr>
      <w:r>
        <w:t xml:space="preserve">Table </w:t>
      </w:r>
      <w:r>
        <w:fldChar w:fldCharType="begin"/>
      </w:r>
      <w:r>
        <w:instrText xml:space="preserve"> SEQ Table \* ARABIC </w:instrText>
      </w:r>
      <w:r>
        <w:fldChar w:fldCharType="separate"/>
      </w:r>
      <w:r>
        <w:rPr>
          <w:noProof/>
        </w:rPr>
        <w:t>4</w:t>
      </w:r>
      <w:r>
        <w:fldChar w:fldCharType="end"/>
      </w:r>
      <w:r>
        <w:rPr>
          <w:lang w:val="en-US"/>
        </w:rPr>
        <w:t xml:space="preserve"> </w:t>
      </w:r>
      <w:r w:rsidRPr="00673F87">
        <w:rPr>
          <w:lang w:val="en-US"/>
        </w:rPr>
        <w:t>Wadi Al Jaww Channel Samples intercepts</w:t>
      </w:r>
    </w:p>
    <w:tbl>
      <w:tblPr>
        <w:tblW w:w="6782" w:type="dxa"/>
        <w:jc w:val="center"/>
        <w:tblLook w:val="04A0" w:firstRow="1" w:lastRow="0" w:firstColumn="1" w:lastColumn="0" w:noHBand="0" w:noVBand="1"/>
      </w:tblPr>
      <w:tblGrid>
        <w:gridCol w:w="1835"/>
        <w:gridCol w:w="1324"/>
        <w:gridCol w:w="999"/>
        <w:gridCol w:w="1440"/>
        <w:gridCol w:w="1184"/>
      </w:tblGrid>
      <w:tr w:rsidR="007847FD" w:rsidRPr="006D11B1" w14:paraId="5A8494CA"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4B3EE4DB" w14:textId="77777777" w:rsidR="007847FD" w:rsidRPr="009F5615" w:rsidRDefault="007847FD" w:rsidP="003B5B3F">
            <w:pPr>
              <w:spacing w:after="0"/>
              <w:rPr>
                <w:rFonts w:ascii="Aptos Narrow" w:eastAsia="Times New Roman" w:hAnsi="Aptos Narrow" w:cs="Times New Roman"/>
                <w:b/>
                <w:bCs/>
                <w:color w:val="FFFFFF"/>
                <w:sz w:val="18"/>
                <w:szCs w:val="18"/>
                <w:lang w:val="en-US"/>
              </w:rPr>
            </w:pPr>
            <w:r w:rsidRPr="009F5615">
              <w:rPr>
                <w:rFonts w:ascii="Aptos Narrow" w:eastAsia="Times New Roman" w:hAnsi="Aptos Narrow" w:cs="Times New Roman"/>
                <w:b/>
                <w:bCs/>
                <w:color w:val="FFFFFF"/>
                <w:sz w:val="18"/>
                <w:szCs w:val="18"/>
                <w:lang w:val="en-US"/>
              </w:rPr>
              <w:t>Hole_ID</w:t>
            </w:r>
          </w:p>
        </w:tc>
        <w:tc>
          <w:tcPr>
            <w:tcW w:w="1324"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46DE913B" w14:textId="77777777" w:rsidR="007847FD" w:rsidRPr="009F5615" w:rsidRDefault="007847FD" w:rsidP="003B5B3F">
            <w:pPr>
              <w:spacing w:after="0"/>
              <w:rPr>
                <w:rFonts w:ascii="Aptos Narrow" w:eastAsia="Times New Roman" w:hAnsi="Aptos Narrow" w:cs="Times New Roman"/>
                <w:b/>
                <w:bCs/>
                <w:color w:val="FFFFFF"/>
                <w:sz w:val="18"/>
                <w:szCs w:val="18"/>
                <w:lang w:val="en-US"/>
              </w:rPr>
            </w:pPr>
            <w:r w:rsidRPr="009F5615">
              <w:rPr>
                <w:rFonts w:ascii="Aptos Narrow" w:eastAsia="Times New Roman" w:hAnsi="Aptos Narrow" w:cs="Times New Roman"/>
                <w:b/>
                <w:bCs/>
                <w:color w:val="FFFFFF"/>
                <w:sz w:val="18"/>
                <w:szCs w:val="18"/>
                <w:lang w:val="en-US"/>
              </w:rPr>
              <w:t>From(m)</w:t>
            </w:r>
          </w:p>
        </w:tc>
        <w:tc>
          <w:tcPr>
            <w:tcW w:w="999"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63765EF2" w14:textId="77777777" w:rsidR="007847FD" w:rsidRPr="009F5615" w:rsidRDefault="007847FD" w:rsidP="003B5B3F">
            <w:pPr>
              <w:spacing w:after="0"/>
              <w:rPr>
                <w:rFonts w:ascii="Aptos Narrow" w:eastAsia="Times New Roman" w:hAnsi="Aptos Narrow" w:cs="Times New Roman"/>
                <w:b/>
                <w:bCs/>
                <w:color w:val="FFFFFF"/>
                <w:sz w:val="18"/>
                <w:szCs w:val="18"/>
                <w:lang w:val="en-US"/>
              </w:rPr>
            </w:pPr>
            <w:r w:rsidRPr="009F5615">
              <w:rPr>
                <w:rFonts w:ascii="Aptos Narrow" w:eastAsia="Times New Roman" w:hAnsi="Aptos Narrow" w:cs="Times New Roman"/>
                <w:b/>
                <w:bCs/>
                <w:color w:val="FFFFFF"/>
                <w:sz w:val="18"/>
                <w:szCs w:val="18"/>
                <w:lang w:val="en-US"/>
              </w:rPr>
              <w:t>To(m)</w:t>
            </w:r>
          </w:p>
        </w:tc>
        <w:tc>
          <w:tcPr>
            <w:tcW w:w="1440"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4F2553F0" w14:textId="77777777" w:rsidR="007847FD" w:rsidRPr="009F5615" w:rsidRDefault="007847FD" w:rsidP="003B5B3F">
            <w:pPr>
              <w:spacing w:after="0"/>
              <w:rPr>
                <w:rFonts w:ascii="Aptos Narrow" w:eastAsia="Times New Roman" w:hAnsi="Aptos Narrow" w:cs="Times New Roman"/>
                <w:b/>
                <w:bCs/>
                <w:color w:val="FFFFFF"/>
                <w:sz w:val="18"/>
                <w:szCs w:val="18"/>
                <w:lang w:val="en-US"/>
              </w:rPr>
            </w:pPr>
            <w:r w:rsidRPr="009F5615">
              <w:rPr>
                <w:rFonts w:ascii="Aptos Narrow" w:eastAsia="Times New Roman" w:hAnsi="Aptos Narrow" w:cs="Times New Roman"/>
                <w:b/>
                <w:bCs/>
                <w:color w:val="FFFFFF"/>
                <w:sz w:val="18"/>
                <w:szCs w:val="18"/>
                <w:lang w:val="en-US"/>
              </w:rPr>
              <w:t>length(m)</w:t>
            </w:r>
          </w:p>
        </w:tc>
        <w:tc>
          <w:tcPr>
            <w:tcW w:w="1184"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6611F8D9" w14:textId="77777777" w:rsidR="007847FD" w:rsidRPr="009F5615" w:rsidRDefault="007847FD" w:rsidP="003B5B3F">
            <w:pPr>
              <w:spacing w:after="0"/>
              <w:rPr>
                <w:rFonts w:ascii="Aptos Narrow" w:eastAsia="Times New Roman" w:hAnsi="Aptos Narrow" w:cs="Times New Roman"/>
                <w:b/>
                <w:bCs/>
                <w:color w:val="FFFFFF"/>
                <w:sz w:val="18"/>
                <w:szCs w:val="18"/>
                <w:lang w:val="en-US"/>
              </w:rPr>
            </w:pPr>
            <w:r w:rsidRPr="009F5615">
              <w:rPr>
                <w:rFonts w:ascii="Aptos Narrow" w:eastAsia="Times New Roman" w:hAnsi="Aptos Narrow" w:cs="Times New Roman"/>
                <w:b/>
                <w:bCs/>
                <w:color w:val="FFFFFF"/>
                <w:sz w:val="18"/>
                <w:szCs w:val="18"/>
                <w:lang w:val="en-US"/>
              </w:rPr>
              <w:t>Au (g/t)</w:t>
            </w:r>
          </w:p>
        </w:tc>
      </w:tr>
      <w:tr w:rsidR="007847FD" w:rsidRPr="006D11B1" w14:paraId="21201D23"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4D022B"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SH07CH002</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58FDF8"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1.95</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13DE79"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16.43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4A9776"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14.48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132A0"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0.295</w:t>
            </w:r>
          </w:p>
        </w:tc>
      </w:tr>
      <w:tr w:rsidR="007847FD" w:rsidRPr="006D11B1" w14:paraId="6403726B"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0A88AD"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SH07CH002</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2A4131"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72.51</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13E7AB"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221.8</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B5022"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149.29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2DE6FF"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0.619</w:t>
            </w:r>
          </w:p>
        </w:tc>
      </w:tr>
      <w:tr w:rsidR="007847FD" w:rsidRPr="006D11B1" w14:paraId="3DF5979E"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494C08"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Including</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F6D4F4"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163.54</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546CD4"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170.45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DFF932"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6.91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6800DA"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2.928</w:t>
            </w:r>
          </w:p>
        </w:tc>
      </w:tr>
      <w:tr w:rsidR="007847FD" w:rsidRPr="006D11B1" w14:paraId="068437A3"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65BF2"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SH07CH003</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C21AB3"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2.04</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86F8F5"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20.95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097DC2"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18.91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2A7981"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0.603</w:t>
            </w:r>
          </w:p>
        </w:tc>
      </w:tr>
      <w:tr w:rsidR="007847FD" w:rsidRPr="006D11B1" w14:paraId="0BD34DC9"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71FAA"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SH07CH004</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66801E"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13.28</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4DE40C"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27.33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32A8CE"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14.05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82B7D6"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1.334</w:t>
            </w:r>
          </w:p>
        </w:tc>
      </w:tr>
      <w:tr w:rsidR="007847FD" w:rsidRPr="006D11B1" w14:paraId="7A65A9AB"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5BBE9C"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SH07CH004</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AC2F0E"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35.3</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5F164"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55.53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A8A34"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20.23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74D6EB"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0.557</w:t>
            </w:r>
          </w:p>
        </w:tc>
      </w:tr>
      <w:tr w:rsidR="007847FD" w:rsidRPr="006D11B1" w14:paraId="1DB2CE98"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2AFD16"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SH07CH006</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3BEC83"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9.94</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ED4E49"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30.82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E10131"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20.88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770E5"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0.481</w:t>
            </w:r>
          </w:p>
        </w:tc>
      </w:tr>
      <w:tr w:rsidR="007847FD" w:rsidRPr="006D11B1" w14:paraId="4340A297"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C690B"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SH07CH008</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46C44E"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2.46</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E5C12B"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91.99</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3090D9"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89.53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31A2D6"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0.616</w:t>
            </w:r>
          </w:p>
        </w:tc>
      </w:tr>
      <w:tr w:rsidR="007847FD" w:rsidRPr="006D11B1" w14:paraId="393DDBBE"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A5333"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Including</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4684ED"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17.82</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6630D2"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23.54</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6BAF05"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5.72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263EA3"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3.164</w:t>
            </w:r>
          </w:p>
        </w:tc>
      </w:tr>
      <w:tr w:rsidR="007847FD" w:rsidRPr="006D11B1" w14:paraId="65A36CC1"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23CA6A"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SH07CH009</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18F570"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19.21</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8C949D"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37.47</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2E3D73"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18.26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84CB5"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0.775</w:t>
            </w:r>
          </w:p>
        </w:tc>
      </w:tr>
      <w:tr w:rsidR="007847FD" w:rsidRPr="006D11B1" w14:paraId="53230FE9"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90205F"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Including</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36CACF"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32.47</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0F2911"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37.47</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A717B1"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44A2B7"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2.002</w:t>
            </w:r>
          </w:p>
        </w:tc>
      </w:tr>
      <w:tr w:rsidR="007847FD" w:rsidRPr="006D11B1" w14:paraId="6ACE6ADC"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2637CA"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SH07CH010</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6E133"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24.35</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6A50CD"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42.99</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A88D6"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18.64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5054B4"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0.282</w:t>
            </w:r>
          </w:p>
        </w:tc>
      </w:tr>
      <w:tr w:rsidR="007847FD" w:rsidRPr="006D11B1" w14:paraId="5CC43FC0" w14:textId="77777777" w:rsidTr="003B5B3F">
        <w:trPr>
          <w:trHeight w:val="246"/>
          <w:jc w:val="center"/>
        </w:trPr>
        <w:tc>
          <w:tcPr>
            <w:tcW w:w="1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6624D" w14:textId="77777777" w:rsidR="007847FD" w:rsidRPr="009F5615" w:rsidRDefault="007847FD" w:rsidP="003B5B3F">
            <w:pPr>
              <w:spacing w:after="0"/>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lastRenderedPageBreak/>
              <w:t>SH07CH011</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55D880"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23.19</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F66A4"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40.45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167A3"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17.26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21ABB0" w14:textId="77777777" w:rsidR="007847FD" w:rsidRPr="009F5615" w:rsidRDefault="007847FD" w:rsidP="003B5B3F">
            <w:pPr>
              <w:spacing w:after="0"/>
              <w:jc w:val="right"/>
              <w:rPr>
                <w:rFonts w:ascii="Aptos Narrow" w:eastAsia="Times New Roman" w:hAnsi="Aptos Narrow" w:cs="Times New Roman"/>
                <w:color w:val="000000"/>
                <w:sz w:val="18"/>
                <w:szCs w:val="18"/>
                <w:lang w:val="en-US"/>
              </w:rPr>
            </w:pPr>
            <w:r w:rsidRPr="009F5615">
              <w:rPr>
                <w:rFonts w:ascii="Aptos Narrow" w:eastAsia="Times New Roman" w:hAnsi="Aptos Narrow" w:cs="Times New Roman"/>
                <w:color w:val="000000"/>
                <w:sz w:val="18"/>
                <w:szCs w:val="18"/>
                <w:lang w:val="en-US"/>
              </w:rPr>
              <w:t>0.981</w:t>
            </w:r>
          </w:p>
        </w:tc>
      </w:tr>
    </w:tbl>
    <w:p w14:paraId="6FCE8728" w14:textId="77777777" w:rsidR="007847FD" w:rsidRDefault="007847FD" w:rsidP="007847FD">
      <w:pPr>
        <w:keepNext/>
      </w:pPr>
      <w:r>
        <w:rPr>
          <w:noProof/>
        </w:rPr>
        <w:drawing>
          <wp:inline distT="0" distB="0" distL="0" distR="0" wp14:anchorId="7E849E3F" wp14:editId="40B7E3AD">
            <wp:extent cx="5943600" cy="3207385"/>
            <wp:effectExtent l="0" t="0" r="0" b="0"/>
            <wp:docPr id="8" name="Picture 8" descr="A map of a satelli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map of a satellite&#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207385"/>
                    </a:xfrm>
                    <a:prstGeom prst="rect">
                      <a:avLst/>
                    </a:prstGeom>
                    <a:noFill/>
                    <a:ln>
                      <a:noFill/>
                    </a:ln>
                  </pic:spPr>
                </pic:pic>
              </a:graphicData>
            </a:graphic>
          </wp:inline>
        </w:drawing>
      </w:r>
    </w:p>
    <w:p w14:paraId="612404A3" w14:textId="77777777" w:rsidR="007847FD" w:rsidRDefault="007847FD" w:rsidP="007847FD">
      <w:pPr>
        <w:pStyle w:val="Caption"/>
        <w:jc w:val="center"/>
        <w:rPr>
          <w:lang w:val="en-US"/>
        </w:rPr>
      </w:pPr>
      <w:r>
        <w:t xml:space="preserve">Figure </w:t>
      </w:r>
      <w:r>
        <w:fldChar w:fldCharType="begin"/>
      </w:r>
      <w:r>
        <w:instrText xml:space="preserve"> SEQ Figure \* ARABIC </w:instrText>
      </w:r>
      <w:r>
        <w:fldChar w:fldCharType="separate"/>
      </w:r>
      <w:r>
        <w:rPr>
          <w:noProof/>
        </w:rPr>
        <w:t>5</w:t>
      </w:r>
      <w:r>
        <w:fldChar w:fldCharType="end"/>
      </w:r>
      <w:r>
        <w:rPr>
          <w:lang w:val="en-US"/>
        </w:rPr>
        <w:t xml:space="preserve"> </w:t>
      </w:r>
      <w:r w:rsidRPr="004D0BD1">
        <w:rPr>
          <w:lang w:val="en-US"/>
        </w:rPr>
        <w:t>Jabal Shayban Plan view</w:t>
      </w:r>
    </w:p>
    <w:p w14:paraId="3DD2CBD7" w14:textId="77777777" w:rsidR="007847FD" w:rsidRDefault="007847FD" w:rsidP="007847FD">
      <w:r>
        <w:rPr>
          <w:noProof/>
        </w:rPr>
        <w:drawing>
          <wp:inline distT="0" distB="0" distL="0" distR="0" wp14:anchorId="69A64960" wp14:editId="2B59C670">
            <wp:extent cx="5943600" cy="28517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851785"/>
                    </a:xfrm>
                    <a:prstGeom prst="rect">
                      <a:avLst/>
                    </a:prstGeom>
                    <a:noFill/>
                    <a:ln>
                      <a:noFill/>
                    </a:ln>
                  </pic:spPr>
                </pic:pic>
              </a:graphicData>
            </a:graphic>
          </wp:inline>
        </w:drawing>
      </w:r>
    </w:p>
    <w:p w14:paraId="5AE2BCCA" w14:textId="77777777" w:rsidR="007847FD" w:rsidRDefault="007847FD" w:rsidP="007847FD">
      <w:pPr>
        <w:pStyle w:val="Caption"/>
        <w:jc w:val="center"/>
      </w:pPr>
      <w:r>
        <w:t xml:space="preserve">Figure </w:t>
      </w:r>
      <w:r>
        <w:fldChar w:fldCharType="begin"/>
      </w:r>
      <w:r>
        <w:instrText xml:space="preserve"> SEQ Figure \* ARABIC </w:instrText>
      </w:r>
      <w:r>
        <w:fldChar w:fldCharType="separate"/>
      </w:r>
      <w:r>
        <w:rPr>
          <w:noProof/>
        </w:rPr>
        <w:t>6</w:t>
      </w:r>
      <w:r>
        <w:fldChar w:fldCharType="end"/>
      </w:r>
      <w:r>
        <w:rPr>
          <w:lang w:val="en-US"/>
        </w:rPr>
        <w:t xml:space="preserve"> </w:t>
      </w:r>
      <w:r w:rsidRPr="007C6C90">
        <w:rPr>
          <w:lang w:val="en-US"/>
        </w:rPr>
        <w:t>Jabal Shayban sections 1</w:t>
      </w:r>
    </w:p>
    <w:p w14:paraId="47716860" w14:textId="77777777" w:rsidR="007847FD" w:rsidRDefault="007847FD" w:rsidP="007847FD">
      <w:pPr>
        <w:keepNext/>
      </w:pPr>
      <w:r>
        <w:rPr>
          <w:noProof/>
        </w:rPr>
        <w:lastRenderedPageBreak/>
        <w:drawing>
          <wp:inline distT="0" distB="0" distL="0" distR="0" wp14:anchorId="2E1E7302" wp14:editId="612ECFAB">
            <wp:extent cx="5943600" cy="29235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923540"/>
                    </a:xfrm>
                    <a:prstGeom prst="rect">
                      <a:avLst/>
                    </a:prstGeom>
                    <a:noFill/>
                    <a:ln>
                      <a:noFill/>
                    </a:ln>
                  </pic:spPr>
                </pic:pic>
              </a:graphicData>
            </a:graphic>
          </wp:inline>
        </w:drawing>
      </w:r>
    </w:p>
    <w:p w14:paraId="64BE004B" w14:textId="77777777" w:rsidR="007847FD" w:rsidRDefault="007847FD" w:rsidP="007847FD">
      <w:pPr>
        <w:pStyle w:val="Caption"/>
        <w:jc w:val="center"/>
      </w:pPr>
      <w:r>
        <w:t xml:space="preserve">Figure </w:t>
      </w:r>
      <w:r>
        <w:fldChar w:fldCharType="begin"/>
      </w:r>
      <w:r>
        <w:instrText xml:space="preserve"> SEQ Figure \* ARABIC </w:instrText>
      </w:r>
      <w:r>
        <w:fldChar w:fldCharType="separate"/>
      </w:r>
      <w:r>
        <w:rPr>
          <w:noProof/>
        </w:rPr>
        <w:t>7</w:t>
      </w:r>
      <w:r>
        <w:fldChar w:fldCharType="end"/>
      </w:r>
      <w:r>
        <w:rPr>
          <w:lang w:val="en-US"/>
        </w:rPr>
        <w:t xml:space="preserve"> </w:t>
      </w:r>
      <w:r w:rsidRPr="00F3351B">
        <w:rPr>
          <w:lang w:val="en-US"/>
        </w:rPr>
        <w:t xml:space="preserve">Jabal Shayban sections </w:t>
      </w:r>
      <w:r>
        <w:rPr>
          <w:lang w:val="en-US"/>
        </w:rPr>
        <w:t>2</w:t>
      </w:r>
    </w:p>
    <w:p w14:paraId="681E19C8" w14:textId="77777777" w:rsidR="007847FD" w:rsidRDefault="007847FD" w:rsidP="007847FD"/>
    <w:p w14:paraId="65CFF402" w14:textId="77777777" w:rsidR="007847FD" w:rsidRDefault="007847FD" w:rsidP="007847FD">
      <w:pPr>
        <w:pStyle w:val="Caption"/>
        <w:keepNext/>
        <w:jc w:val="center"/>
      </w:pPr>
      <w:r>
        <w:t xml:space="preserve">Table </w:t>
      </w:r>
      <w:r>
        <w:fldChar w:fldCharType="begin"/>
      </w:r>
      <w:r>
        <w:instrText xml:space="preserve"> SEQ Table \* ARABIC </w:instrText>
      </w:r>
      <w:r>
        <w:fldChar w:fldCharType="separate"/>
      </w:r>
      <w:r>
        <w:rPr>
          <w:noProof/>
        </w:rPr>
        <w:t>5</w:t>
      </w:r>
      <w:r>
        <w:fldChar w:fldCharType="end"/>
      </w:r>
      <w:r>
        <w:rPr>
          <w:lang w:val="en-US"/>
        </w:rPr>
        <w:t xml:space="preserve"> </w:t>
      </w:r>
      <w:r w:rsidRPr="00475FE6">
        <w:rPr>
          <w:lang w:val="en-US"/>
        </w:rPr>
        <w:t>Jabal Shayban Collar</w:t>
      </w:r>
    </w:p>
    <w:tbl>
      <w:tblPr>
        <w:tblW w:w="10876" w:type="dxa"/>
        <w:jc w:val="center"/>
        <w:tblLook w:val="04A0" w:firstRow="1" w:lastRow="0" w:firstColumn="1" w:lastColumn="0" w:noHBand="0" w:noVBand="1"/>
      </w:tblPr>
      <w:tblGrid>
        <w:gridCol w:w="1204"/>
        <w:gridCol w:w="1126"/>
        <w:gridCol w:w="1076"/>
        <w:gridCol w:w="1178"/>
        <w:gridCol w:w="773"/>
        <w:gridCol w:w="1441"/>
        <w:gridCol w:w="1018"/>
        <w:gridCol w:w="882"/>
        <w:gridCol w:w="477"/>
        <w:gridCol w:w="1701"/>
      </w:tblGrid>
      <w:tr w:rsidR="007847FD" w:rsidRPr="0021609B" w14:paraId="4B1591B1"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75D0CF35" w14:textId="77777777" w:rsidR="007847FD" w:rsidRPr="0021609B" w:rsidRDefault="007847FD" w:rsidP="003B5B3F">
            <w:pPr>
              <w:spacing w:after="0"/>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Hole_ID</w:t>
            </w:r>
          </w:p>
        </w:tc>
        <w:tc>
          <w:tcPr>
            <w:tcW w:w="1126"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66AA2654" w14:textId="77777777" w:rsidR="007847FD" w:rsidRPr="0021609B" w:rsidRDefault="007847FD" w:rsidP="003B5B3F">
            <w:pPr>
              <w:spacing w:after="0"/>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max_depth</w:t>
            </w:r>
          </w:p>
        </w:tc>
        <w:tc>
          <w:tcPr>
            <w:tcW w:w="1076"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288D4AF2" w14:textId="77777777" w:rsidR="007847FD" w:rsidRPr="0021609B" w:rsidRDefault="007847FD" w:rsidP="003B5B3F">
            <w:pPr>
              <w:spacing w:after="0"/>
              <w:jc w:val="center"/>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x</w:t>
            </w:r>
          </w:p>
        </w:tc>
        <w:tc>
          <w:tcPr>
            <w:tcW w:w="1178"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4F80E501" w14:textId="77777777" w:rsidR="007847FD" w:rsidRPr="0021609B" w:rsidRDefault="007847FD" w:rsidP="003B5B3F">
            <w:pPr>
              <w:spacing w:after="0"/>
              <w:jc w:val="center"/>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y</w:t>
            </w:r>
          </w:p>
        </w:tc>
        <w:tc>
          <w:tcPr>
            <w:tcW w:w="773"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1EDE2EF5" w14:textId="77777777" w:rsidR="007847FD" w:rsidRPr="0021609B" w:rsidRDefault="007847FD" w:rsidP="003B5B3F">
            <w:pPr>
              <w:spacing w:after="0"/>
              <w:jc w:val="center"/>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z</w:t>
            </w:r>
          </w:p>
        </w:tc>
        <w:tc>
          <w:tcPr>
            <w:tcW w:w="1441"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4CBC2D71" w14:textId="77777777" w:rsidR="007847FD" w:rsidRPr="0021609B" w:rsidRDefault="007847FD" w:rsidP="003B5B3F">
            <w:pPr>
              <w:spacing w:after="0"/>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Program Stage</w:t>
            </w:r>
          </w:p>
        </w:tc>
        <w:tc>
          <w:tcPr>
            <w:tcW w:w="1018"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6A2829FB" w14:textId="77777777" w:rsidR="007847FD" w:rsidRPr="0021609B" w:rsidRDefault="007847FD" w:rsidP="003B5B3F">
            <w:pPr>
              <w:spacing w:after="0"/>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hole type</w:t>
            </w:r>
          </w:p>
        </w:tc>
        <w:tc>
          <w:tcPr>
            <w:tcW w:w="882"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21DF6B89" w14:textId="77777777" w:rsidR="007847FD" w:rsidRPr="0021609B" w:rsidRDefault="007847FD" w:rsidP="003B5B3F">
            <w:pPr>
              <w:spacing w:after="0"/>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azimuth</w:t>
            </w:r>
          </w:p>
        </w:tc>
        <w:tc>
          <w:tcPr>
            <w:tcW w:w="477"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132D2916" w14:textId="77777777" w:rsidR="007847FD" w:rsidRPr="0021609B" w:rsidRDefault="007847FD" w:rsidP="003B5B3F">
            <w:pPr>
              <w:spacing w:after="0"/>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dip</w:t>
            </w:r>
          </w:p>
        </w:tc>
        <w:tc>
          <w:tcPr>
            <w:tcW w:w="1701" w:type="dxa"/>
            <w:tcBorders>
              <w:top w:val="single" w:sz="4" w:space="0" w:color="auto"/>
              <w:left w:val="single" w:sz="4" w:space="0" w:color="auto"/>
              <w:bottom w:val="single" w:sz="4" w:space="0" w:color="auto"/>
              <w:right w:val="single" w:sz="4" w:space="0" w:color="auto"/>
            </w:tcBorders>
            <w:shd w:val="clear" w:color="4EA72E" w:fill="4EA72E"/>
            <w:noWrap/>
            <w:vAlign w:val="bottom"/>
            <w:hideMark/>
          </w:tcPr>
          <w:p w14:paraId="468DDAF4" w14:textId="77777777" w:rsidR="007847FD" w:rsidRPr="0021609B" w:rsidRDefault="007847FD" w:rsidP="003B5B3F">
            <w:pPr>
              <w:spacing w:after="0"/>
              <w:rPr>
                <w:rFonts w:ascii="Aptos Narrow" w:eastAsia="Times New Roman" w:hAnsi="Aptos Narrow" w:cs="Times New Roman"/>
                <w:b/>
                <w:bCs/>
                <w:color w:val="FFFFFF"/>
                <w:sz w:val="18"/>
                <w:szCs w:val="18"/>
                <w:lang w:val="en-US"/>
              </w:rPr>
            </w:pPr>
            <w:r w:rsidRPr="0021609B">
              <w:rPr>
                <w:rFonts w:ascii="Aptos Narrow" w:eastAsia="Times New Roman" w:hAnsi="Aptos Narrow" w:cs="Times New Roman"/>
                <w:b/>
                <w:bCs/>
                <w:color w:val="FFFFFF"/>
                <w:sz w:val="18"/>
                <w:szCs w:val="18"/>
                <w:lang w:val="en-US"/>
              </w:rPr>
              <w:t>Cordinate System</w:t>
            </w:r>
          </w:p>
        </w:tc>
      </w:tr>
      <w:tr w:rsidR="007847FD" w:rsidRPr="0021609B" w14:paraId="2D542485"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82FEFB"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SH06DD001</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7CA831"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100</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4D44CF"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577424.84</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5566FB"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2498419.41</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5C845A"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669.42</w:t>
            </w:r>
          </w:p>
        </w:tc>
        <w:tc>
          <w:tcPr>
            <w:tcW w:w="14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4E2A04"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AEB391"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BB2E4"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0</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7AC046"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-90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2F2966"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7DC6B685"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9BC8A"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SH06DD002</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92B2C7"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320</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1626B"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577238.96</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992D0"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2498365.89</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21DA4"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646.09</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66C7DB84"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3D46F9"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D88722"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52AE6"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3D0B83A9"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1CB2CF71"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54FB23"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SH06DD003</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333A12"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317.8</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77B89"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577075.06</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5B1D0C"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2498135.86</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62CE1"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626.81</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41A46D35"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FE704E"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27494F"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3447E5"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19B7011F"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55BAE25C"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CCD8FA"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SH06DD004</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ACA7C4"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240</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ACE5D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577425.87</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A4891"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2498419.07</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EA5E3"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669.39</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1CEECCAF"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2F198A"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36CF1"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110</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7410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4D767D89"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1AB1C158"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8ACB58"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SH06DD005</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A7ECB3"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250</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3060EC"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577341.84</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032C0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2498409.76</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CF0C4"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711.15</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4B6D8271"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3210D4"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BC5E71"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0158E"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-70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2FC7AFD8"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5370507F"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531893"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SH06DD006</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E27D71"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175</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F3412D"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577136.63</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182F30"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2497988.87</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D74E75"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622.51</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4CE9A84F"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EAB551"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3ABD5D"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F89ED"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-90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60DB2D93"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411E49A2"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CE7CA"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SH06DD007</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E4E714"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315</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81DB0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576934.6</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BCA9E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2498039.3</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CF079D"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618.38</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7664062C"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DB4A7"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184F73"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ACAE1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6C9F94D9"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763CE446"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FBAEFB"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SH06DD008</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74B8EF"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330.2</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E79C49"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577068.08</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639947"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2497905.98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FBFCE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622.13</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50220807"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9AD3C7"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B4DF7"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AAB9F2"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3EAC621E"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09FE3548"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0E474B"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SH06DD009</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D1D772"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515</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430A0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576787.83</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491AD"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2498181.02</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B5593C"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653.34</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312D4643"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ED4EBC"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F24656"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810205"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7F375D2B"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22750D00"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ECBF7"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SH06DD010</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3C782"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512.2</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39749D"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576803.65</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3B48DC"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2497891.35</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66F5A2"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613.84</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20EA3001"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405C45"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20AEF6"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E502C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4BA8B6AE"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751F7205"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808007"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SH06DD011</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C943C"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600</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8FC035"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577067.3</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CD4EDA"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2498460.63</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56D15E"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699.81</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2DAAF621"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B10C3C"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2F0EC6"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568585"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6F4CECA5"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6F5D34D2"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662DC4"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SH06DD012</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F68D19"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413.5</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8FCA33"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576932.52</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4D09BA"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2497753.98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7B0083"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619.83</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2BCF5032"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446741"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3A0155"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51CFC1"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639BE997"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7125918B"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05CDD"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SH06DD013</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B77ECD"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503.7</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84341"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576642.53</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890B13"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2497754.88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7AB869"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618.79</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1A016C30"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A03153"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91065B"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135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ADBCA8"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2D2B4C94"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r w:rsidR="007847FD" w:rsidRPr="0021609B" w14:paraId="7289C303" w14:textId="77777777" w:rsidTr="003B5B3F">
        <w:trPr>
          <w:trHeight w:val="243"/>
          <w:jc w:val="center"/>
        </w:trPr>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4D8226"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SH06DD014</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6C100"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250</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A6E4A1"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576903.66</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9DE735"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2497457.58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BB9354"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651.06</w:t>
            </w:r>
          </w:p>
        </w:tc>
        <w:tc>
          <w:tcPr>
            <w:tcW w:w="1441" w:type="dxa"/>
            <w:tcBorders>
              <w:top w:val="single" w:sz="4" w:space="0" w:color="auto"/>
              <w:left w:val="single" w:sz="4" w:space="0" w:color="auto"/>
              <w:bottom w:val="single" w:sz="4" w:space="0" w:color="auto"/>
              <w:right w:val="single" w:sz="4" w:space="0" w:color="auto"/>
            </w:tcBorders>
            <w:shd w:val="clear" w:color="auto" w:fill="auto"/>
            <w:noWrap/>
            <w:hideMark/>
          </w:tcPr>
          <w:p w14:paraId="790FC465"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Exploration</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EE5073"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DD</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912C10"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315</w:t>
            </w:r>
          </w:p>
        </w:tc>
        <w:tc>
          <w:tcPr>
            <w:tcW w:w="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542507" w14:textId="77777777" w:rsidR="007847FD" w:rsidRPr="0021609B" w:rsidRDefault="007847FD" w:rsidP="003B5B3F">
            <w:pPr>
              <w:spacing w:after="0"/>
              <w:jc w:val="right"/>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-50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581D2E65" w14:textId="77777777" w:rsidR="007847FD" w:rsidRPr="0021609B" w:rsidRDefault="007847FD" w:rsidP="003B5B3F">
            <w:pPr>
              <w:spacing w:after="0"/>
              <w:rPr>
                <w:rFonts w:ascii="Aptos Narrow" w:eastAsia="Times New Roman" w:hAnsi="Aptos Narrow" w:cs="Times New Roman"/>
                <w:color w:val="000000"/>
                <w:sz w:val="18"/>
                <w:szCs w:val="18"/>
                <w:lang w:val="en-US"/>
              </w:rPr>
            </w:pPr>
            <w:r w:rsidRPr="0021609B">
              <w:rPr>
                <w:rFonts w:ascii="Aptos Narrow" w:eastAsia="Times New Roman" w:hAnsi="Aptos Narrow" w:cs="Times New Roman"/>
                <w:color w:val="000000"/>
                <w:sz w:val="18"/>
                <w:szCs w:val="18"/>
                <w:lang w:val="en-US"/>
              </w:rPr>
              <w:t>UTM84-Z37N</w:t>
            </w:r>
          </w:p>
        </w:tc>
      </w:tr>
    </w:tbl>
    <w:p w14:paraId="2A0B40A1" w14:textId="77777777" w:rsidR="007847FD" w:rsidRDefault="007847FD" w:rsidP="007847FD"/>
    <w:p w14:paraId="0CBB219B" w14:textId="77777777" w:rsidR="007847FD" w:rsidRDefault="007847FD" w:rsidP="007847FD">
      <w:pPr>
        <w:pStyle w:val="Caption"/>
        <w:keepNext/>
        <w:jc w:val="center"/>
        <w:rPr>
          <w:lang w:val="en-US"/>
        </w:rPr>
      </w:pPr>
      <w:r>
        <w:t xml:space="preserve">Table </w:t>
      </w:r>
      <w:r>
        <w:fldChar w:fldCharType="begin"/>
      </w:r>
      <w:r>
        <w:instrText xml:space="preserve"> SEQ Table \* ARABIC </w:instrText>
      </w:r>
      <w:r>
        <w:fldChar w:fldCharType="separate"/>
      </w:r>
      <w:r>
        <w:rPr>
          <w:noProof/>
        </w:rPr>
        <w:t>6</w:t>
      </w:r>
      <w:r>
        <w:fldChar w:fldCharType="end"/>
      </w:r>
      <w:r>
        <w:rPr>
          <w:lang w:val="en-US"/>
        </w:rPr>
        <w:t xml:space="preserve"> </w:t>
      </w:r>
      <w:r w:rsidRPr="00E467CD">
        <w:rPr>
          <w:lang w:val="en-US"/>
        </w:rPr>
        <w:t>Jabal Shayban Intercepts</w:t>
      </w:r>
    </w:p>
    <w:tbl>
      <w:tblPr>
        <w:tblW w:w="8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1280"/>
        <w:gridCol w:w="966"/>
        <w:gridCol w:w="1392"/>
        <w:gridCol w:w="1145"/>
        <w:gridCol w:w="1055"/>
        <w:gridCol w:w="1145"/>
      </w:tblGrid>
      <w:tr w:rsidR="007847FD" w:rsidRPr="00A8316F" w14:paraId="67576040" w14:textId="77777777" w:rsidTr="003B5B3F">
        <w:trPr>
          <w:trHeight w:val="187"/>
          <w:jc w:val="center"/>
        </w:trPr>
        <w:tc>
          <w:tcPr>
            <w:tcW w:w="1774" w:type="dxa"/>
            <w:shd w:val="clear" w:color="4EA72E" w:fill="4EA72E"/>
            <w:noWrap/>
            <w:vAlign w:val="bottom"/>
            <w:hideMark/>
          </w:tcPr>
          <w:p w14:paraId="0204E4DE" w14:textId="77777777" w:rsidR="007847FD" w:rsidRPr="00A8316F" w:rsidRDefault="007847FD" w:rsidP="003B5B3F">
            <w:pPr>
              <w:spacing w:after="0"/>
              <w:rPr>
                <w:rFonts w:ascii="Aptos Narrow" w:eastAsia="Times New Roman" w:hAnsi="Aptos Narrow" w:cs="Times New Roman"/>
                <w:b/>
                <w:bCs/>
                <w:color w:val="FFFFFF"/>
                <w:sz w:val="18"/>
                <w:szCs w:val="18"/>
                <w:lang w:val="en-US"/>
              </w:rPr>
            </w:pPr>
            <w:r w:rsidRPr="00A8316F">
              <w:rPr>
                <w:rFonts w:ascii="Aptos Narrow" w:eastAsia="Times New Roman" w:hAnsi="Aptos Narrow" w:cs="Times New Roman"/>
                <w:b/>
                <w:bCs/>
                <w:color w:val="FFFFFF"/>
                <w:sz w:val="18"/>
                <w:szCs w:val="18"/>
                <w:lang w:val="en-US"/>
              </w:rPr>
              <w:t>Hole_ID</w:t>
            </w:r>
          </w:p>
        </w:tc>
        <w:tc>
          <w:tcPr>
            <w:tcW w:w="1280" w:type="dxa"/>
            <w:shd w:val="clear" w:color="4EA72E" w:fill="4EA72E"/>
            <w:noWrap/>
            <w:vAlign w:val="bottom"/>
            <w:hideMark/>
          </w:tcPr>
          <w:p w14:paraId="10CCDCE9" w14:textId="77777777" w:rsidR="007847FD" w:rsidRPr="00A8316F" w:rsidRDefault="007847FD" w:rsidP="003B5B3F">
            <w:pPr>
              <w:spacing w:after="0"/>
              <w:rPr>
                <w:rFonts w:ascii="Aptos Narrow" w:eastAsia="Times New Roman" w:hAnsi="Aptos Narrow" w:cs="Times New Roman"/>
                <w:b/>
                <w:bCs/>
                <w:color w:val="FFFFFF"/>
                <w:sz w:val="18"/>
                <w:szCs w:val="18"/>
                <w:lang w:val="en-US"/>
              </w:rPr>
            </w:pPr>
            <w:r w:rsidRPr="00A8316F">
              <w:rPr>
                <w:rFonts w:ascii="Aptos Narrow" w:eastAsia="Times New Roman" w:hAnsi="Aptos Narrow" w:cs="Times New Roman"/>
                <w:b/>
                <w:bCs/>
                <w:color w:val="FFFFFF"/>
                <w:sz w:val="18"/>
                <w:szCs w:val="18"/>
                <w:lang w:val="en-US"/>
              </w:rPr>
              <w:t>From(m)</w:t>
            </w:r>
          </w:p>
        </w:tc>
        <w:tc>
          <w:tcPr>
            <w:tcW w:w="966" w:type="dxa"/>
            <w:shd w:val="clear" w:color="4EA72E" w:fill="4EA72E"/>
            <w:noWrap/>
            <w:vAlign w:val="bottom"/>
            <w:hideMark/>
          </w:tcPr>
          <w:p w14:paraId="1E439C55" w14:textId="77777777" w:rsidR="007847FD" w:rsidRPr="00A8316F" w:rsidRDefault="007847FD" w:rsidP="003B5B3F">
            <w:pPr>
              <w:spacing w:after="0"/>
              <w:rPr>
                <w:rFonts w:ascii="Aptos Narrow" w:eastAsia="Times New Roman" w:hAnsi="Aptos Narrow" w:cs="Times New Roman"/>
                <w:b/>
                <w:bCs/>
                <w:color w:val="FFFFFF"/>
                <w:sz w:val="18"/>
                <w:szCs w:val="18"/>
                <w:lang w:val="en-US"/>
              </w:rPr>
            </w:pPr>
            <w:r w:rsidRPr="00A8316F">
              <w:rPr>
                <w:rFonts w:ascii="Aptos Narrow" w:eastAsia="Times New Roman" w:hAnsi="Aptos Narrow" w:cs="Times New Roman"/>
                <w:b/>
                <w:bCs/>
                <w:color w:val="FFFFFF"/>
                <w:sz w:val="18"/>
                <w:szCs w:val="18"/>
                <w:lang w:val="en-US"/>
              </w:rPr>
              <w:t>To(m)</w:t>
            </w:r>
          </w:p>
        </w:tc>
        <w:tc>
          <w:tcPr>
            <w:tcW w:w="1392" w:type="dxa"/>
            <w:shd w:val="clear" w:color="4EA72E" w:fill="4EA72E"/>
            <w:noWrap/>
            <w:vAlign w:val="bottom"/>
            <w:hideMark/>
          </w:tcPr>
          <w:p w14:paraId="22D13083" w14:textId="77777777" w:rsidR="007847FD" w:rsidRPr="00A8316F" w:rsidRDefault="007847FD" w:rsidP="003B5B3F">
            <w:pPr>
              <w:spacing w:after="0"/>
              <w:rPr>
                <w:rFonts w:ascii="Aptos Narrow" w:eastAsia="Times New Roman" w:hAnsi="Aptos Narrow" w:cs="Times New Roman"/>
                <w:b/>
                <w:bCs/>
                <w:color w:val="FFFFFF"/>
                <w:sz w:val="18"/>
                <w:szCs w:val="18"/>
                <w:lang w:val="en-US"/>
              </w:rPr>
            </w:pPr>
            <w:r w:rsidRPr="00A8316F">
              <w:rPr>
                <w:rFonts w:ascii="Aptos Narrow" w:eastAsia="Times New Roman" w:hAnsi="Aptos Narrow" w:cs="Times New Roman"/>
                <w:b/>
                <w:bCs/>
                <w:color w:val="FFFFFF"/>
                <w:sz w:val="18"/>
                <w:szCs w:val="18"/>
                <w:lang w:val="en-US"/>
              </w:rPr>
              <w:t>length(m)</w:t>
            </w:r>
          </w:p>
        </w:tc>
        <w:tc>
          <w:tcPr>
            <w:tcW w:w="1145" w:type="dxa"/>
            <w:shd w:val="clear" w:color="4EA72E" w:fill="4EA72E"/>
            <w:noWrap/>
            <w:vAlign w:val="bottom"/>
            <w:hideMark/>
          </w:tcPr>
          <w:p w14:paraId="4E3EDDF1" w14:textId="77777777" w:rsidR="007847FD" w:rsidRPr="00A8316F" w:rsidRDefault="007847FD" w:rsidP="003B5B3F">
            <w:pPr>
              <w:spacing w:after="0"/>
              <w:rPr>
                <w:rFonts w:ascii="Aptos Narrow" w:eastAsia="Times New Roman" w:hAnsi="Aptos Narrow" w:cs="Times New Roman"/>
                <w:b/>
                <w:bCs/>
                <w:color w:val="FFFFFF"/>
                <w:sz w:val="18"/>
                <w:szCs w:val="18"/>
                <w:lang w:val="en-US"/>
              </w:rPr>
            </w:pPr>
            <w:r w:rsidRPr="00A8316F">
              <w:rPr>
                <w:rFonts w:ascii="Aptos Narrow" w:eastAsia="Times New Roman" w:hAnsi="Aptos Narrow" w:cs="Times New Roman"/>
                <w:b/>
                <w:bCs/>
                <w:color w:val="FFFFFF"/>
                <w:sz w:val="18"/>
                <w:szCs w:val="18"/>
                <w:lang w:val="en-US"/>
              </w:rPr>
              <w:t>Au (g/t)</w:t>
            </w:r>
          </w:p>
        </w:tc>
        <w:tc>
          <w:tcPr>
            <w:tcW w:w="1055" w:type="dxa"/>
            <w:shd w:val="clear" w:color="4EA72E" w:fill="4EA72E"/>
            <w:noWrap/>
            <w:vAlign w:val="bottom"/>
            <w:hideMark/>
          </w:tcPr>
          <w:p w14:paraId="5CD543E9" w14:textId="77777777" w:rsidR="007847FD" w:rsidRPr="00A8316F" w:rsidRDefault="007847FD" w:rsidP="003B5B3F">
            <w:pPr>
              <w:spacing w:after="0"/>
              <w:rPr>
                <w:rFonts w:ascii="Aptos Narrow" w:eastAsia="Times New Roman" w:hAnsi="Aptos Narrow" w:cs="Times New Roman"/>
                <w:b/>
                <w:bCs/>
                <w:color w:val="FFFFFF"/>
                <w:sz w:val="18"/>
                <w:szCs w:val="18"/>
                <w:lang w:val="en-US"/>
              </w:rPr>
            </w:pPr>
            <w:r>
              <w:rPr>
                <w:rFonts w:ascii="Aptos Narrow" w:eastAsia="Times New Roman" w:hAnsi="Aptos Narrow" w:cs="Times New Roman"/>
                <w:b/>
                <w:bCs/>
                <w:color w:val="FFFFFF"/>
                <w:sz w:val="18"/>
                <w:szCs w:val="18"/>
                <w:lang w:val="en-US"/>
              </w:rPr>
              <w:t>C</w:t>
            </w:r>
            <w:r w:rsidRPr="00A8316F">
              <w:rPr>
                <w:rFonts w:ascii="Aptos Narrow" w:eastAsia="Times New Roman" w:hAnsi="Aptos Narrow" w:cs="Times New Roman"/>
                <w:b/>
                <w:bCs/>
                <w:color w:val="FFFFFF"/>
                <w:sz w:val="18"/>
                <w:szCs w:val="18"/>
                <w:lang w:val="en-US"/>
              </w:rPr>
              <w:t>u (%)</w:t>
            </w:r>
          </w:p>
        </w:tc>
        <w:tc>
          <w:tcPr>
            <w:tcW w:w="1145" w:type="dxa"/>
            <w:shd w:val="clear" w:color="4EA72E" w:fill="4EA72E"/>
            <w:noWrap/>
            <w:vAlign w:val="bottom"/>
            <w:hideMark/>
          </w:tcPr>
          <w:p w14:paraId="7C9B27EB" w14:textId="77777777" w:rsidR="007847FD" w:rsidRPr="00A8316F" w:rsidRDefault="007847FD" w:rsidP="003B5B3F">
            <w:pPr>
              <w:spacing w:after="0"/>
              <w:rPr>
                <w:rFonts w:ascii="Aptos Narrow" w:eastAsia="Times New Roman" w:hAnsi="Aptos Narrow" w:cs="Times New Roman"/>
                <w:b/>
                <w:bCs/>
                <w:color w:val="FFFFFF"/>
                <w:sz w:val="18"/>
                <w:szCs w:val="18"/>
                <w:lang w:val="en-US"/>
              </w:rPr>
            </w:pPr>
            <w:r w:rsidRPr="00A8316F">
              <w:rPr>
                <w:rFonts w:ascii="Aptos Narrow" w:eastAsia="Times New Roman" w:hAnsi="Aptos Narrow" w:cs="Times New Roman"/>
                <w:b/>
                <w:bCs/>
                <w:color w:val="FFFFFF"/>
                <w:sz w:val="18"/>
                <w:szCs w:val="18"/>
                <w:lang w:val="en-US"/>
              </w:rPr>
              <w:t>Au_</w:t>
            </w:r>
            <w:r>
              <w:rPr>
                <w:rFonts w:ascii="Aptos Narrow" w:eastAsia="Times New Roman" w:hAnsi="Aptos Narrow" w:cs="Times New Roman"/>
                <w:b/>
                <w:bCs/>
                <w:color w:val="FFFFFF"/>
                <w:sz w:val="18"/>
                <w:szCs w:val="18"/>
                <w:lang w:val="en-US"/>
              </w:rPr>
              <w:t>E</w:t>
            </w:r>
            <w:r w:rsidRPr="00A8316F">
              <w:rPr>
                <w:rFonts w:ascii="Aptos Narrow" w:eastAsia="Times New Roman" w:hAnsi="Aptos Narrow" w:cs="Times New Roman"/>
                <w:b/>
                <w:bCs/>
                <w:color w:val="FFFFFF"/>
                <w:sz w:val="18"/>
                <w:szCs w:val="18"/>
                <w:lang w:val="en-US"/>
              </w:rPr>
              <w:t>qv</w:t>
            </w:r>
          </w:p>
        </w:tc>
      </w:tr>
      <w:tr w:rsidR="007847FD" w:rsidRPr="00A8316F" w14:paraId="4606F724" w14:textId="77777777" w:rsidTr="003B5B3F">
        <w:trPr>
          <w:trHeight w:val="187"/>
          <w:jc w:val="center"/>
        </w:trPr>
        <w:tc>
          <w:tcPr>
            <w:tcW w:w="1774" w:type="dxa"/>
            <w:shd w:val="clear" w:color="auto" w:fill="auto"/>
            <w:noWrap/>
            <w:vAlign w:val="bottom"/>
            <w:hideMark/>
          </w:tcPr>
          <w:p w14:paraId="1E145716"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SH06DD001</w:t>
            </w:r>
          </w:p>
        </w:tc>
        <w:tc>
          <w:tcPr>
            <w:tcW w:w="1280" w:type="dxa"/>
            <w:shd w:val="clear" w:color="auto" w:fill="auto"/>
            <w:noWrap/>
            <w:vAlign w:val="bottom"/>
            <w:hideMark/>
          </w:tcPr>
          <w:p w14:paraId="0D5DA6AF"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0</w:t>
            </w:r>
          </w:p>
        </w:tc>
        <w:tc>
          <w:tcPr>
            <w:tcW w:w="966" w:type="dxa"/>
            <w:shd w:val="clear" w:color="auto" w:fill="auto"/>
            <w:noWrap/>
            <w:vAlign w:val="bottom"/>
            <w:hideMark/>
          </w:tcPr>
          <w:p w14:paraId="5CD04A2F"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64.0</w:t>
            </w:r>
          </w:p>
        </w:tc>
        <w:tc>
          <w:tcPr>
            <w:tcW w:w="1392" w:type="dxa"/>
            <w:shd w:val="clear" w:color="auto" w:fill="auto"/>
            <w:noWrap/>
            <w:vAlign w:val="bottom"/>
            <w:hideMark/>
          </w:tcPr>
          <w:p w14:paraId="3DBAD945"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64.0</w:t>
            </w:r>
          </w:p>
        </w:tc>
        <w:tc>
          <w:tcPr>
            <w:tcW w:w="1145" w:type="dxa"/>
            <w:shd w:val="clear" w:color="auto" w:fill="auto"/>
            <w:noWrap/>
            <w:vAlign w:val="bottom"/>
            <w:hideMark/>
          </w:tcPr>
          <w:p w14:paraId="442E10FF"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2.11</w:t>
            </w:r>
          </w:p>
        </w:tc>
        <w:tc>
          <w:tcPr>
            <w:tcW w:w="1055" w:type="dxa"/>
            <w:shd w:val="clear" w:color="auto" w:fill="auto"/>
            <w:noWrap/>
            <w:vAlign w:val="bottom"/>
            <w:hideMark/>
          </w:tcPr>
          <w:p w14:paraId="364ED3D0"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1.04</w:t>
            </w:r>
          </w:p>
        </w:tc>
        <w:tc>
          <w:tcPr>
            <w:tcW w:w="1145" w:type="dxa"/>
            <w:shd w:val="clear" w:color="auto" w:fill="auto"/>
            <w:noWrap/>
            <w:vAlign w:val="bottom"/>
            <w:hideMark/>
          </w:tcPr>
          <w:p w14:paraId="0920AFDA"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3.13</w:t>
            </w:r>
          </w:p>
        </w:tc>
      </w:tr>
      <w:tr w:rsidR="007847FD" w:rsidRPr="00A8316F" w14:paraId="1F9B68D7" w14:textId="77777777" w:rsidTr="003B5B3F">
        <w:trPr>
          <w:trHeight w:val="187"/>
          <w:jc w:val="center"/>
        </w:trPr>
        <w:tc>
          <w:tcPr>
            <w:tcW w:w="1774" w:type="dxa"/>
            <w:shd w:val="clear" w:color="auto" w:fill="auto"/>
            <w:noWrap/>
            <w:vAlign w:val="bottom"/>
            <w:hideMark/>
          </w:tcPr>
          <w:p w14:paraId="1443FBB8"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Including</w:t>
            </w:r>
          </w:p>
        </w:tc>
        <w:tc>
          <w:tcPr>
            <w:tcW w:w="1280" w:type="dxa"/>
            <w:shd w:val="clear" w:color="auto" w:fill="auto"/>
            <w:noWrap/>
            <w:vAlign w:val="bottom"/>
            <w:hideMark/>
          </w:tcPr>
          <w:p w14:paraId="0F1C7AF1"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42.0</w:t>
            </w:r>
          </w:p>
        </w:tc>
        <w:tc>
          <w:tcPr>
            <w:tcW w:w="966" w:type="dxa"/>
            <w:shd w:val="clear" w:color="auto" w:fill="auto"/>
            <w:noWrap/>
            <w:vAlign w:val="bottom"/>
            <w:hideMark/>
          </w:tcPr>
          <w:p w14:paraId="52A532C3"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59.8</w:t>
            </w:r>
          </w:p>
        </w:tc>
        <w:tc>
          <w:tcPr>
            <w:tcW w:w="1392" w:type="dxa"/>
            <w:shd w:val="clear" w:color="auto" w:fill="auto"/>
            <w:noWrap/>
            <w:vAlign w:val="bottom"/>
            <w:hideMark/>
          </w:tcPr>
          <w:p w14:paraId="26993A0F"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17.8</w:t>
            </w:r>
          </w:p>
        </w:tc>
        <w:tc>
          <w:tcPr>
            <w:tcW w:w="1145" w:type="dxa"/>
            <w:shd w:val="clear" w:color="auto" w:fill="auto"/>
            <w:noWrap/>
            <w:vAlign w:val="bottom"/>
            <w:hideMark/>
          </w:tcPr>
          <w:p w14:paraId="5F551568"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5.54</w:t>
            </w:r>
          </w:p>
        </w:tc>
        <w:tc>
          <w:tcPr>
            <w:tcW w:w="1055" w:type="dxa"/>
            <w:shd w:val="clear" w:color="auto" w:fill="auto"/>
            <w:noWrap/>
            <w:vAlign w:val="bottom"/>
            <w:hideMark/>
          </w:tcPr>
          <w:p w14:paraId="5E232D51"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1.60</w:t>
            </w:r>
          </w:p>
        </w:tc>
        <w:tc>
          <w:tcPr>
            <w:tcW w:w="1145" w:type="dxa"/>
            <w:shd w:val="clear" w:color="auto" w:fill="auto"/>
            <w:noWrap/>
            <w:vAlign w:val="bottom"/>
            <w:hideMark/>
          </w:tcPr>
          <w:p w14:paraId="068E63E8"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7.11</w:t>
            </w:r>
          </w:p>
        </w:tc>
      </w:tr>
      <w:tr w:rsidR="007847FD" w:rsidRPr="00A8316F" w14:paraId="6F063267" w14:textId="77777777" w:rsidTr="003B5B3F">
        <w:trPr>
          <w:trHeight w:val="187"/>
          <w:jc w:val="center"/>
        </w:trPr>
        <w:tc>
          <w:tcPr>
            <w:tcW w:w="1774" w:type="dxa"/>
            <w:shd w:val="clear" w:color="auto" w:fill="auto"/>
            <w:noWrap/>
            <w:vAlign w:val="bottom"/>
            <w:hideMark/>
          </w:tcPr>
          <w:p w14:paraId="2811C45E"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SH06DD002</w:t>
            </w:r>
          </w:p>
        </w:tc>
        <w:tc>
          <w:tcPr>
            <w:tcW w:w="1280" w:type="dxa"/>
            <w:shd w:val="clear" w:color="auto" w:fill="auto"/>
            <w:noWrap/>
            <w:vAlign w:val="bottom"/>
            <w:hideMark/>
          </w:tcPr>
          <w:p w14:paraId="4CA70FD5"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90.5</w:t>
            </w:r>
          </w:p>
        </w:tc>
        <w:tc>
          <w:tcPr>
            <w:tcW w:w="966" w:type="dxa"/>
            <w:shd w:val="clear" w:color="auto" w:fill="auto"/>
            <w:noWrap/>
            <w:vAlign w:val="bottom"/>
            <w:hideMark/>
          </w:tcPr>
          <w:p w14:paraId="4017355F"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129.1</w:t>
            </w:r>
          </w:p>
        </w:tc>
        <w:tc>
          <w:tcPr>
            <w:tcW w:w="1392" w:type="dxa"/>
            <w:shd w:val="clear" w:color="auto" w:fill="auto"/>
            <w:noWrap/>
            <w:vAlign w:val="bottom"/>
            <w:hideMark/>
          </w:tcPr>
          <w:p w14:paraId="556752EE"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38.6</w:t>
            </w:r>
          </w:p>
        </w:tc>
        <w:tc>
          <w:tcPr>
            <w:tcW w:w="1145" w:type="dxa"/>
            <w:shd w:val="clear" w:color="auto" w:fill="auto"/>
            <w:noWrap/>
            <w:vAlign w:val="bottom"/>
            <w:hideMark/>
          </w:tcPr>
          <w:p w14:paraId="77E550FF"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1.12</w:t>
            </w:r>
          </w:p>
        </w:tc>
        <w:tc>
          <w:tcPr>
            <w:tcW w:w="1055" w:type="dxa"/>
            <w:shd w:val="clear" w:color="auto" w:fill="auto"/>
            <w:noWrap/>
            <w:vAlign w:val="bottom"/>
            <w:hideMark/>
          </w:tcPr>
          <w:p w14:paraId="33612CFD"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0.68</w:t>
            </w:r>
          </w:p>
        </w:tc>
        <w:tc>
          <w:tcPr>
            <w:tcW w:w="1145" w:type="dxa"/>
            <w:shd w:val="clear" w:color="auto" w:fill="auto"/>
            <w:noWrap/>
            <w:vAlign w:val="bottom"/>
            <w:hideMark/>
          </w:tcPr>
          <w:p w14:paraId="3207C465"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1.79</w:t>
            </w:r>
          </w:p>
        </w:tc>
      </w:tr>
      <w:tr w:rsidR="007847FD" w:rsidRPr="00A8316F" w14:paraId="2D513B0F" w14:textId="77777777" w:rsidTr="003B5B3F">
        <w:trPr>
          <w:trHeight w:val="187"/>
          <w:jc w:val="center"/>
        </w:trPr>
        <w:tc>
          <w:tcPr>
            <w:tcW w:w="1774" w:type="dxa"/>
            <w:shd w:val="clear" w:color="auto" w:fill="auto"/>
            <w:noWrap/>
            <w:vAlign w:val="bottom"/>
            <w:hideMark/>
          </w:tcPr>
          <w:p w14:paraId="5BC87FD8"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SH06DD004</w:t>
            </w:r>
          </w:p>
        </w:tc>
        <w:tc>
          <w:tcPr>
            <w:tcW w:w="1280" w:type="dxa"/>
            <w:shd w:val="clear" w:color="auto" w:fill="auto"/>
            <w:noWrap/>
            <w:vAlign w:val="bottom"/>
            <w:hideMark/>
          </w:tcPr>
          <w:p w14:paraId="35DD66FF"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37.0</w:t>
            </w:r>
          </w:p>
        </w:tc>
        <w:tc>
          <w:tcPr>
            <w:tcW w:w="966" w:type="dxa"/>
            <w:shd w:val="clear" w:color="auto" w:fill="auto"/>
            <w:noWrap/>
            <w:vAlign w:val="bottom"/>
            <w:hideMark/>
          </w:tcPr>
          <w:p w14:paraId="09C52333"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111.0</w:t>
            </w:r>
          </w:p>
        </w:tc>
        <w:tc>
          <w:tcPr>
            <w:tcW w:w="1392" w:type="dxa"/>
            <w:shd w:val="clear" w:color="auto" w:fill="auto"/>
            <w:noWrap/>
            <w:vAlign w:val="bottom"/>
            <w:hideMark/>
          </w:tcPr>
          <w:p w14:paraId="6AE417D8"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74.0</w:t>
            </w:r>
          </w:p>
        </w:tc>
        <w:tc>
          <w:tcPr>
            <w:tcW w:w="1145" w:type="dxa"/>
            <w:shd w:val="clear" w:color="auto" w:fill="auto"/>
            <w:noWrap/>
            <w:vAlign w:val="bottom"/>
            <w:hideMark/>
          </w:tcPr>
          <w:p w14:paraId="4B739BC6"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10.06</w:t>
            </w:r>
          </w:p>
        </w:tc>
        <w:tc>
          <w:tcPr>
            <w:tcW w:w="1055" w:type="dxa"/>
            <w:shd w:val="clear" w:color="auto" w:fill="auto"/>
            <w:noWrap/>
            <w:vAlign w:val="bottom"/>
            <w:hideMark/>
          </w:tcPr>
          <w:p w14:paraId="2D2BE0C2"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1.28</w:t>
            </w:r>
          </w:p>
        </w:tc>
        <w:tc>
          <w:tcPr>
            <w:tcW w:w="1145" w:type="dxa"/>
            <w:shd w:val="clear" w:color="auto" w:fill="auto"/>
            <w:noWrap/>
            <w:vAlign w:val="bottom"/>
            <w:hideMark/>
          </w:tcPr>
          <w:p w14:paraId="075A468D"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11.32</w:t>
            </w:r>
          </w:p>
        </w:tc>
      </w:tr>
      <w:tr w:rsidR="007847FD" w:rsidRPr="00A8316F" w14:paraId="26A70F7E" w14:textId="77777777" w:rsidTr="003B5B3F">
        <w:trPr>
          <w:trHeight w:val="187"/>
          <w:jc w:val="center"/>
        </w:trPr>
        <w:tc>
          <w:tcPr>
            <w:tcW w:w="1774" w:type="dxa"/>
            <w:shd w:val="clear" w:color="auto" w:fill="auto"/>
            <w:noWrap/>
            <w:vAlign w:val="bottom"/>
            <w:hideMark/>
          </w:tcPr>
          <w:p w14:paraId="20536BE5"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Including</w:t>
            </w:r>
          </w:p>
        </w:tc>
        <w:tc>
          <w:tcPr>
            <w:tcW w:w="1280" w:type="dxa"/>
            <w:shd w:val="clear" w:color="auto" w:fill="auto"/>
            <w:noWrap/>
            <w:vAlign w:val="bottom"/>
            <w:hideMark/>
          </w:tcPr>
          <w:p w14:paraId="3B5EE192"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43.0</w:t>
            </w:r>
          </w:p>
        </w:tc>
        <w:tc>
          <w:tcPr>
            <w:tcW w:w="966" w:type="dxa"/>
            <w:shd w:val="clear" w:color="auto" w:fill="auto"/>
            <w:noWrap/>
            <w:vAlign w:val="bottom"/>
            <w:hideMark/>
          </w:tcPr>
          <w:p w14:paraId="42006C6A"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70.5</w:t>
            </w:r>
          </w:p>
        </w:tc>
        <w:tc>
          <w:tcPr>
            <w:tcW w:w="1392" w:type="dxa"/>
            <w:shd w:val="clear" w:color="auto" w:fill="auto"/>
            <w:noWrap/>
            <w:vAlign w:val="bottom"/>
            <w:hideMark/>
          </w:tcPr>
          <w:p w14:paraId="254BF833"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27.5</w:t>
            </w:r>
          </w:p>
        </w:tc>
        <w:tc>
          <w:tcPr>
            <w:tcW w:w="1145" w:type="dxa"/>
            <w:shd w:val="clear" w:color="auto" w:fill="auto"/>
            <w:noWrap/>
            <w:vAlign w:val="bottom"/>
            <w:hideMark/>
          </w:tcPr>
          <w:p w14:paraId="6E7D8043"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24.24</w:t>
            </w:r>
          </w:p>
        </w:tc>
        <w:tc>
          <w:tcPr>
            <w:tcW w:w="1055" w:type="dxa"/>
            <w:shd w:val="clear" w:color="auto" w:fill="auto"/>
            <w:noWrap/>
            <w:vAlign w:val="bottom"/>
            <w:hideMark/>
          </w:tcPr>
          <w:p w14:paraId="5FAE6BF8"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1.84</w:t>
            </w:r>
          </w:p>
        </w:tc>
        <w:tc>
          <w:tcPr>
            <w:tcW w:w="1145" w:type="dxa"/>
            <w:shd w:val="clear" w:color="auto" w:fill="auto"/>
            <w:noWrap/>
            <w:vAlign w:val="bottom"/>
            <w:hideMark/>
          </w:tcPr>
          <w:p w14:paraId="4170FD02"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26.05</w:t>
            </w:r>
          </w:p>
        </w:tc>
      </w:tr>
      <w:tr w:rsidR="007847FD" w:rsidRPr="00A8316F" w14:paraId="124A00D2" w14:textId="77777777" w:rsidTr="003B5B3F">
        <w:trPr>
          <w:trHeight w:val="187"/>
          <w:jc w:val="center"/>
        </w:trPr>
        <w:tc>
          <w:tcPr>
            <w:tcW w:w="1774" w:type="dxa"/>
            <w:shd w:val="clear" w:color="auto" w:fill="auto"/>
            <w:noWrap/>
            <w:vAlign w:val="bottom"/>
            <w:hideMark/>
          </w:tcPr>
          <w:p w14:paraId="720A1F79"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SH06DD005</w:t>
            </w:r>
          </w:p>
        </w:tc>
        <w:tc>
          <w:tcPr>
            <w:tcW w:w="1280" w:type="dxa"/>
            <w:shd w:val="clear" w:color="auto" w:fill="auto"/>
            <w:noWrap/>
            <w:vAlign w:val="bottom"/>
            <w:hideMark/>
          </w:tcPr>
          <w:p w14:paraId="096668D6"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111.0</w:t>
            </w:r>
          </w:p>
        </w:tc>
        <w:tc>
          <w:tcPr>
            <w:tcW w:w="966" w:type="dxa"/>
            <w:shd w:val="clear" w:color="auto" w:fill="auto"/>
            <w:noWrap/>
            <w:vAlign w:val="bottom"/>
            <w:hideMark/>
          </w:tcPr>
          <w:p w14:paraId="38D0813B"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127.0</w:t>
            </w:r>
          </w:p>
        </w:tc>
        <w:tc>
          <w:tcPr>
            <w:tcW w:w="1392" w:type="dxa"/>
            <w:shd w:val="clear" w:color="auto" w:fill="auto"/>
            <w:noWrap/>
            <w:vAlign w:val="bottom"/>
            <w:hideMark/>
          </w:tcPr>
          <w:p w14:paraId="31FA83B5"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16.0</w:t>
            </w:r>
          </w:p>
        </w:tc>
        <w:tc>
          <w:tcPr>
            <w:tcW w:w="1145" w:type="dxa"/>
            <w:shd w:val="clear" w:color="auto" w:fill="auto"/>
            <w:noWrap/>
            <w:vAlign w:val="bottom"/>
            <w:hideMark/>
          </w:tcPr>
          <w:p w14:paraId="729B9755"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14.40</w:t>
            </w:r>
          </w:p>
        </w:tc>
        <w:tc>
          <w:tcPr>
            <w:tcW w:w="1055" w:type="dxa"/>
            <w:shd w:val="clear" w:color="auto" w:fill="auto"/>
            <w:noWrap/>
            <w:vAlign w:val="bottom"/>
            <w:hideMark/>
          </w:tcPr>
          <w:p w14:paraId="56099D40"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2.91</w:t>
            </w:r>
          </w:p>
        </w:tc>
        <w:tc>
          <w:tcPr>
            <w:tcW w:w="1145" w:type="dxa"/>
            <w:shd w:val="clear" w:color="auto" w:fill="auto"/>
            <w:noWrap/>
            <w:vAlign w:val="bottom"/>
            <w:hideMark/>
          </w:tcPr>
          <w:p w14:paraId="49E28661"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17.26</w:t>
            </w:r>
          </w:p>
        </w:tc>
      </w:tr>
      <w:tr w:rsidR="007847FD" w:rsidRPr="00A8316F" w14:paraId="223DA361" w14:textId="77777777" w:rsidTr="003B5B3F">
        <w:trPr>
          <w:trHeight w:val="187"/>
          <w:jc w:val="center"/>
        </w:trPr>
        <w:tc>
          <w:tcPr>
            <w:tcW w:w="1774" w:type="dxa"/>
            <w:shd w:val="clear" w:color="auto" w:fill="auto"/>
            <w:noWrap/>
            <w:vAlign w:val="bottom"/>
            <w:hideMark/>
          </w:tcPr>
          <w:p w14:paraId="3C0E3A00"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SH06DD005</w:t>
            </w:r>
          </w:p>
        </w:tc>
        <w:tc>
          <w:tcPr>
            <w:tcW w:w="1280" w:type="dxa"/>
            <w:shd w:val="clear" w:color="auto" w:fill="auto"/>
            <w:noWrap/>
            <w:vAlign w:val="bottom"/>
            <w:hideMark/>
          </w:tcPr>
          <w:p w14:paraId="08D3F74F"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133.5</w:t>
            </w:r>
          </w:p>
        </w:tc>
        <w:tc>
          <w:tcPr>
            <w:tcW w:w="966" w:type="dxa"/>
            <w:shd w:val="clear" w:color="auto" w:fill="auto"/>
            <w:noWrap/>
            <w:vAlign w:val="bottom"/>
            <w:hideMark/>
          </w:tcPr>
          <w:p w14:paraId="46C334FE"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149.0</w:t>
            </w:r>
          </w:p>
        </w:tc>
        <w:tc>
          <w:tcPr>
            <w:tcW w:w="1392" w:type="dxa"/>
            <w:shd w:val="clear" w:color="auto" w:fill="auto"/>
            <w:noWrap/>
            <w:vAlign w:val="bottom"/>
            <w:hideMark/>
          </w:tcPr>
          <w:p w14:paraId="49D4BCF4"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15.5</w:t>
            </w:r>
          </w:p>
        </w:tc>
        <w:tc>
          <w:tcPr>
            <w:tcW w:w="1145" w:type="dxa"/>
            <w:shd w:val="clear" w:color="auto" w:fill="auto"/>
            <w:noWrap/>
            <w:vAlign w:val="bottom"/>
            <w:hideMark/>
          </w:tcPr>
          <w:p w14:paraId="0161BDD4"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5.88</w:t>
            </w:r>
          </w:p>
        </w:tc>
        <w:tc>
          <w:tcPr>
            <w:tcW w:w="1055" w:type="dxa"/>
            <w:shd w:val="clear" w:color="auto" w:fill="auto"/>
            <w:noWrap/>
            <w:vAlign w:val="bottom"/>
            <w:hideMark/>
          </w:tcPr>
          <w:p w14:paraId="1DBC11AF"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0.54</w:t>
            </w:r>
          </w:p>
        </w:tc>
        <w:tc>
          <w:tcPr>
            <w:tcW w:w="1145" w:type="dxa"/>
            <w:shd w:val="clear" w:color="auto" w:fill="auto"/>
            <w:noWrap/>
            <w:vAlign w:val="bottom"/>
            <w:hideMark/>
          </w:tcPr>
          <w:p w14:paraId="52FF2BBC"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6.41</w:t>
            </w:r>
          </w:p>
        </w:tc>
      </w:tr>
      <w:tr w:rsidR="007847FD" w:rsidRPr="00A8316F" w14:paraId="4FF1BD04" w14:textId="77777777" w:rsidTr="003B5B3F">
        <w:trPr>
          <w:trHeight w:val="187"/>
          <w:jc w:val="center"/>
        </w:trPr>
        <w:tc>
          <w:tcPr>
            <w:tcW w:w="1774" w:type="dxa"/>
            <w:shd w:val="clear" w:color="auto" w:fill="auto"/>
            <w:noWrap/>
            <w:vAlign w:val="bottom"/>
            <w:hideMark/>
          </w:tcPr>
          <w:p w14:paraId="31B17477"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lastRenderedPageBreak/>
              <w:t>SH06DD006</w:t>
            </w:r>
          </w:p>
        </w:tc>
        <w:tc>
          <w:tcPr>
            <w:tcW w:w="1280" w:type="dxa"/>
            <w:shd w:val="clear" w:color="auto" w:fill="auto"/>
            <w:noWrap/>
            <w:vAlign w:val="bottom"/>
            <w:hideMark/>
          </w:tcPr>
          <w:p w14:paraId="7FCDC3DB"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12</w:t>
            </w:r>
          </w:p>
        </w:tc>
        <w:tc>
          <w:tcPr>
            <w:tcW w:w="966" w:type="dxa"/>
            <w:shd w:val="clear" w:color="auto" w:fill="auto"/>
            <w:noWrap/>
            <w:vAlign w:val="bottom"/>
            <w:hideMark/>
          </w:tcPr>
          <w:p w14:paraId="13DFA578"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17</w:t>
            </w:r>
          </w:p>
        </w:tc>
        <w:tc>
          <w:tcPr>
            <w:tcW w:w="1392" w:type="dxa"/>
            <w:shd w:val="clear" w:color="auto" w:fill="auto"/>
            <w:noWrap/>
            <w:vAlign w:val="bottom"/>
            <w:hideMark/>
          </w:tcPr>
          <w:p w14:paraId="05DB9848"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5</w:t>
            </w:r>
          </w:p>
        </w:tc>
        <w:tc>
          <w:tcPr>
            <w:tcW w:w="1145" w:type="dxa"/>
            <w:shd w:val="clear" w:color="auto" w:fill="auto"/>
            <w:noWrap/>
            <w:vAlign w:val="bottom"/>
            <w:hideMark/>
          </w:tcPr>
          <w:p w14:paraId="546DB1A9"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1.416</w:t>
            </w:r>
          </w:p>
        </w:tc>
        <w:tc>
          <w:tcPr>
            <w:tcW w:w="1055" w:type="dxa"/>
            <w:shd w:val="clear" w:color="auto" w:fill="auto"/>
            <w:noWrap/>
            <w:vAlign w:val="bottom"/>
            <w:hideMark/>
          </w:tcPr>
          <w:p w14:paraId="0F458062"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0.127</w:t>
            </w:r>
          </w:p>
        </w:tc>
        <w:tc>
          <w:tcPr>
            <w:tcW w:w="1145" w:type="dxa"/>
            <w:shd w:val="clear" w:color="auto" w:fill="auto"/>
            <w:noWrap/>
            <w:vAlign w:val="bottom"/>
            <w:hideMark/>
          </w:tcPr>
          <w:p w14:paraId="785AD6DC"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1.54</w:t>
            </w:r>
          </w:p>
        </w:tc>
      </w:tr>
      <w:tr w:rsidR="007847FD" w:rsidRPr="00A8316F" w14:paraId="644B90DF" w14:textId="77777777" w:rsidTr="003B5B3F">
        <w:trPr>
          <w:trHeight w:val="187"/>
          <w:jc w:val="center"/>
        </w:trPr>
        <w:tc>
          <w:tcPr>
            <w:tcW w:w="1774" w:type="dxa"/>
            <w:shd w:val="clear" w:color="auto" w:fill="auto"/>
            <w:noWrap/>
            <w:vAlign w:val="bottom"/>
            <w:hideMark/>
          </w:tcPr>
          <w:p w14:paraId="07ED2F7A"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SH06DD006</w:t>
            </w:r>
          </w:p>
        </w:tc>
        <w:tc>
          <w:tcPr>
            <w:tcW w:w="1280" w:type="dxa"/>
            <w:shd w:val="clear" w:color="auto" w:fill="auto"/>
            <w:noWrap/>
            <w:vAlign w:val="bottom"/>
            <w:hideMark/>
          </w:tcPr>
          <w:p w14:paraId="314319D0"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21.0</w:t>
            </w:r>
          </w:p>
        </w:tc>
        <w:tc>
          <w:tcPr>
            <w:tcW w:w="966" w:type="dxa"/>
            <w:shd w:val="clear" w:color="auto" w:fill="auto"/>
            <w:noWrap/>
            <w:vAlign w:val="bottom"/>
            <w:hideMark/>
          </w:tcPr>
          <w:p w14:paraId="764206C4"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28.5</w:t>
            </w:r>
          </w:p>
        </w:tc>
        <w:tc>
          <w:tcPr>
            <w:tcW w:w="1392" w:type="dxa"/>
            <w:shd w:val="clear" w:color="auto" w:fill="auto"/>
            <w:noWrap/>
            <w:vAlign w:val="bottom"/>
            <w:hideMark/>
          </w:tcPr>
          <w:p w14:paraId="5E0A94F9"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7.5</w:t>
            </w:r>
          </w:p>
        </w:tc>
        <w:tc>
          <w:tcPr>
            <w:tcW w:w="1145" w:type="dxa"/>
            <w:shd w:val="clear" w:color="auto" w:fill="auto"/>
            <w:noWrap/>
            <w:vAlign w:val="bottom"/>
            <w:hideMark/>
          </w:tcPr>
          <w:p w14:paraId="5701F364"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6.49</w:t>
            </w:r>
          </w:p>
        </w:tc>
        <w:tc>
          <w:tcPr>
            <w:tcW w:w="1055" w:type="dxa"/>
            <w:shd w:val="clear" w:color="auto" w:fill="auto"/>
            <w:noWrap/>
            <w:vAlign w:val="bottom"/>
            <w:hideMark/>
          </w:tcPr>
          <w:p w14:paraId="00E3227E"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0.83</w:t>
            </w:r>
          </w:p>
        </w:tc>
        <w:tc>
          <w:tcPr>
            <w:tcW w:w="1145" w:type="dxa"/>
            <w:shd w:val="clear" w:color="auto" w:fill="auto"/>
            <w:noWrap/>
            <w:vAlign w:val="bottom"/>
            <w:hideMark/>
          </w:tcPr>
          <w:p w14:paraId="24AEE31D"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7.30</w:t>
            </w:r>
          </w:p>
        </w:tc>
      </w:tr>
      <w:tr w:rsidR="007847FD" w:rsidRPr="00A8316F" w14:paraId="3BB051AF" w14:textId="77777777" w:rsidTr="003B5B3F">
        <w:trPr>
          <w:trHeight w:val="187"/>
          <w:jc w:val="center"/>
        </w:trPr>
        <w:tc>
          <w:tcPr>
            <w:tcW w:w="1774" w:type="dxa"/>
            <w:shd w:val="clear" w:color="auto" w:fill="auto"/>
            <w:noWrap/>
            <w:vAlign w:val="bottom"/>
            <w:hideMark/>
          </w:tcPr>
          <w:p w14:paraId="4201AF57"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SH06DD006</w:t>
            </w:r>
          </w:p>
        </w:tc>
        <w:tc>
          <w:tcPr>
            <w:tcW w:w="1280" w:type="dxa"/>
            <w:shd w:val="clear" w:color="auto" w:fill="auto"/>
            <w:noWrap/>
            <w:vAlign w:val="bottom"/>
            <w:hideMark/>
          </w:tcPr>
          <w:p w14:paraId="55B06330"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35.4</w:t>
            </w:r>
          </w:p>
        </w:tc>
        <w:tc>
          <w:tcPr>
            <w:tcW w:w="966" w:type="dxa"/>
            <w:shd w:val="clear" w:color="auto" w:fill="auto"/>
            <w:noWrap/>
            <w:vAlign w:val="bottom"/>
            <w:hideMark/>
          </w:tcPr>
          <w:p w14:paraId="6ADA0652"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41</w:t>
            </w:r>
          </w:p>
        </w:tc>
        <w:tc>
          <w:tcPr>
            <w:tcW w:w="1392" w:type="dxa"/>
            <w:shd w:val="clear" w:color="auto" w:fill="auto"/>
            <w:noWrap/>
            <w:vAlign w:val="bottom"/>
            <w:hideMark/>
          </w:tcPr>
          <w:p w14:paraId="4931687B"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5.6</w:t>
            </w:r>
          </w:p>
        </w:tc>
        <w:tc>
          <w:tcPr>
            <w:tcW w:w="1145" w:type="dxa"/>
            <w:shd w:val="clear" w:color="auto" w:fill="auto"/>
            <w:noWrap/>
            <w:vAlign w:val="bottom"/>
            <w:hideMark/>
          </w:tcPr>
          <w:p w14:paraId="078217B8"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1.521</w:t>
            </w:r>
          </w:p>
        </w:tc>
        <w:tc>
          <w:tcPr>
            <w:tcW w:w="1055" w:type="dxa"/>
            <w:shd w:val="clear" w:color="auto" w:fill="auto"/>
            <w:noWrap/>
            <w:vAlign w:val="bottom"/>
            <w:hideMark/>
          </w:tcPr>
          <w:p w14:paraId="24D4A9F0"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1.239</w:t>
            </w:r>
          </w:p>
        </w:tc>
        <w:tc>
          <w:tcPr>
            <w:tcW w:w="1145" w:type="dxa"/>
            <w:shd w:val="clear" w:color="auto" w:fill="auto"/>
            <w:noWrap/>
            <w:vAlign w:val="bottom"/>
            <w:hideMark/>
          </w:tcPr>
          <w:p w14:paraId="0D882998"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2.74</w:t>
            </w:r>
          </w:p>
        </w:tc>
      </w:tr>
      <w:tr w:rsidR="007847FD" w:rsidRPr="00A8316F" w14:paraId="3E01BF74" w14:textId="77777777" w:rsidTr="003B5B3F">
        <w:trPr>
          <w:trHeight w:val="187"/>
          <w:jc w:val="center"/>
        </w:trPr>
        <w:tc>
          <w:tcPr>
            <w:tcW w:w="1774" w:type="dxa"/>
            <w:shd w:val="clear" w:color="auto" w:fill="auto"/>
            <w:noWrap/>
            <w:vAlign w:val="bottom"/>
            <w:hideMark/>
          </w:tcPr>
          <w:p w14:paraId="763A7984" w14:textId="77777777" w:rsidR="007847FD" w:rsidRPr="00A8316F" w:rsidRDefault="007847FD" w:rsidP="003B5B3F">
            <w:pPr>
              <w:spacing w:after="0"/>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SH06DD013</w:t>
            </w:r>
          </w:p>
        </w:tc>
        <w:tc>
          <w:tcPr>
            <w:tcW w:w="1280" w:type="dxa"/>
            <w:shd w:val="clear" w:color="auto" w:fill="auto"/>
            <w:noWrap/>
            <w:vAlign w:val="bottom"/>
            <w:hideMark/>
          </w:tcPr>
          <w:p w14:paraId="3C54C014"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323.3</w:t>
            </w:r>
          </w:p>
        </w:tc>
        <w:tc>
          <w:tcPr>
            <w:tcW w:w="966" w:type="dxa"/>
            <w:shd w:val="clear" w:color="auto" w:fill="auto"/>
            <w:noWrap/>
            <w:vAlign w:val="bottom"/>
            <w:hideMark/>
          </w:tcPr>
          <w:p w14:paraId="1A599429"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336.0</w:t>
            </w:r>
          </w:p>
        </w:tc>
        <w:tc>
          <w:tcPr>
            <w:tcW w:w="1392" w:type="dxa"/>
            <w:shd w:val="clear" w:color="auto" w:fill="auto"/>
            <w:noWrap/>
            <w:vAlign w:val="bottom"/>
            <w:hideMark/>
          </w:tcPr>
          <w:p w14:paraId="7995BB03"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12.7</w:t>
            </w:r>
          </w:p>
        </w:tc>
        <w:tc>
          <w:tcPr>
            <w:tcW w:w="1145" w:type="dxa"/>
            <w:shd w:val="clear" w:color="auto" w:fill="auto"/>
            <w:noWrap/>
            <w:vAlign w:val="bottom"/>
            <w:hideMark/>
          </w:tcPr>
          <w:p w14:paraId="0034654B" w14:textId="77777777" w:rsidR="007847FD" w:rsidRPr="00A8316F" w:rsidRDefault="007847FD" w:rsidP="003B5B3F">
            <w:pPr>
              <w:spacing w:after="0"/>
              <w:jc w:val="center"/>
              <w:rPr>
                <w:rFonts w:ascii="Aptos Narrow" w:eastAsia="Times New Roman" w:hAnsi="Aptos Narrow" w:cs="Times New Roman"/>
                <w:color w:val="000000"/>
                <w:sz w:val="18"/>
                <w:szCs w:val="18"/>
                <w:lang w:val="en-US"/>
              </w:rPr>
            </w:pPr>
            <w:r w:rsidRPr="00A8316F">
              <w:rPr>
                <w:rFonts w:ascii="Aptos Narrow" w:eastAsia="Times New Roman" w:hAnsi="Aptos Narrow" w:cs="Times New Roman"/>
                <w:color w:val="000000"/>
                <w:sz w:val="18"/>
                <w:szCs w:val="18"/>
                <w:lang w:val="en-US"/>
              </w:rPr>
              <w:t>1.03</w:t>
            </w:r>
          </w:p>
        </w:tc>
        <w:tc>
          <w:tcPr>
            <w:tcW w:w="1055" w:type="dxa"/>
            <w:shd w:val="clear" w:color="auto" w:fill="auto"/>
            <w:noWrap/>
            <w:vAlign w:val="bottom"/>
            <w:hideMark/>
          </w:tcPr>
          <w:p w14:paraId="751EA3D1"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0.20</w:t>
            </w:r>
          </w:p>
        </w:tc>
        <w:tc>
          <w:tcPr>
            <w:tcW w:w="1145" w:type="dxa"/>
            <w:shd w:val="clear" w:color="auto" w:fill="auto"/>
            <w:noWrap/>
            <w:vAlign w:val="bottom"/>
            <w:hideMark/>
          </w:tcPr>
          <w:p w14:paraId="337F8443" w14:textId="77777777" w:rsidR="007847FD" w:rsidRPr="00AA2207" w:rsidRDefault="007847FD" w:rsidP="003B5B3F">
            <w:pPr>
              <w:spacing w:after="0"/>
              <w:jc w:val="center"/>
              <w:rPr>
                <w:rFonts w:ascii="Aptos Narrow" w:eastAsia="Times New Roman" w:hAnsi="Aptos Narrow" w:cs="Times New Roman"/>
                <w:color w:val="000000" w:themeColor="text1"/>
                <w:sz w:val="18"/>
                <w:szCs w:val="18"/>
                <w:lang w:val="en-US"/>
              </w:rPr>
            </w:pPr>
            <w:r w:rsidRPr="00AA2207">
              <w:rPr>
                <w:rFonts w:ascii="Aptos Narrow" w:eastAsia="Times New Roman" w:hAnsi="Aptos Narrow" w:cs="Times New Roman"/>
                <w:color w:val="000000" w:themeColor="text1"/>
                <w:sz w:val="18"/>
                <w:szCs w:val="18"/>
                <w:lang w:val="en-US"/>
              </w:rPr>
              <w:t>1.22</w:t>
            </w:r>
          </w:p>
        </w:tc>
      </w:tr>
    </w:tbl>
    <w:p w14:paraId="641A990F" w14:textId="77777777" w:rsidR="007847FD" w:rsidRDefault="007847FD" w:rsidP="007847FD">
      <w:pPr>
        <w:rPr>
          <w:lang w:val="en-US"/>
        </w:rPr>
      </w:pPr>
    </w:p>
    <w:p w14:paraId="37C9AE64" w14:textId="77777777" w:rsidR="007E2D9D" w:rsidRDefault="007847FD" w:rsidP="007E2D9D">
      <w:r>
        <w:br/>
      </w:r>
      <w:r w:rsidR="007E2D9D">
        <w:t>Competent Person’s Statement</w:t>
      </w:r>
    </w:p>
    <w:p w14:paraId="4F33F922" w14:textId="77777777" w:rsidR="007E2D9D" w:rsidRDefault="007E2D9D" w:rsidP="007E2D9D">
      <w:r>
        <w:t xml:space="preserve">Information in this announcement is based on current and historic Exploration Results compiled by Maaden exploration under the guidance of Dr Darryl Clark who is a Fellow of the Australasian Institute of Mining and Metallurgy. Dr Clark is Senior Vice President of Exploration and Resource Development in Maaden and has sufficient experience which is relevant to the style of Mineralisation and type of deposit under consideration and to the activity he is undertaking to qualify as a Competent Person as defined in the 2012 Edition of the ‘Australasian Code for Reporting of Exploration Results, Mineral Resources and Ore Reserves (JORC 2012). </w:t>
      </w:r>
    </w:p>
    <w:p w14:paraId="6B6EBF12" w14:textId="17E98025" w:rsidR="007847FD" w:rsidRDefault="007E2D9D" w:rsidP="007E2D9D">
      <w:r>
        <w:t>Dr Darrly Clark consents to the inclusion in this release of the matters based on his information in the form and context in which it appears.</w:t>
      </w:r>
    </w:p>
    <w:p w14:paraId="121D81A3" w14:textId="77777777" w:rsidR="007847FD" w:rsidRDefault="007847FD" w:rsidP="000F6B77">
      <w:pPr>
        <w:pStyle w:val="Heading1"/>
        <w:spacing w:before="0"/>
        <w:rPr>
          <w:rFonts w:asciiTheme="minorHAnsi" w:hAnsiTheme="minorHAnsi"/>
        </w:rPr>
      </w:pPr>
    </w:p>
    <w:p w14:paraId="3CE7A8A9" w14:textId="77777777" w:rsidR="007847FD" w:rsidRDefault="007847FD" w:rsidP="000F6B77">
      <w:pPr>
        <w:pStyle w:val="Heading1"/>
        <w:spacing w:before="0"/>
        <w:rPr>
          <w:rFonts w:asciiTheme="minorHAnsi" w:hAnsiTheme="minorHAnsi"/>
        </w:rPr>
      </w:pPr>
    </w:p>
    <w:p w14:paraId="525C5E2D" w14:textId="77777777" w:rsidR="007847FD" w:rsidRDefault="007847FD" w:rsidP="000F6B77">
      <w:pPr>
        <w:pStyle w:val="Heading1"/>
        <w:spacing w:before="0"/>
        <w:rPr>
          <w:rFonts w:asciiTheme="minorHAnsi" w:hAnsiTheme="minorHAnsi"/>
        </w:rPr>
      </w:pPr>
    </w:p>
    <w:p w14:paraId="59D5F047" w14:textId="77777777" w:rsidR="007847FD" w:rsidRDefault="007847FD" w:rsidP="000F6B77">
      <w:pPr>
        <w:pStyle w:val="Heading1"/>
        <w:spacing w:before="0"/>
        <w:rPr>
          <w:rFonts w:asciiTheme="minorHAnsi" w:hAnsiTheme="minorHAnsi"/>
        </w:rPr>
      </w:pPr>
    </w:p>
    <w:p w14:paraId="7DF81126" w14:textId="1B9A5C7B" w:rsidR="008C6320" w:rsidRPr="00816D16" w:rsidRDefault="008C6320" w:rsidP="006178A7">
      <w:pPr>
        <w:spacing w:after="160" w:line="278" w:lineRule="auto"/>
        <w:rPr>
          <w:rFonts w:asciiTheme="minorHAnsi" w:hAnsiTheme="minorHAnsi"/>
        </w:rPr>
      </w:pPr>
    </w:p>
    <w:sectPr w:rsidR="008C6320" w:rsidRPr="00816D16" w:rsidSect="0058650A">
      <w:headerReference w:type="default" r:id="rId1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E824B" w14:textId="77777777" w:rsidR="00D04FD7" w:rsidRDefault="00D04FD7" w:rsidP="00651C1E">
      <w:pPr>
        <w:spacing w:after="0"/>
      </w:pPr>
      <w:r>
        <w:separator/>
      </w:r>
    </w:p>
  </w:endnote>
  <w:endnote w:type="continuationSeparator" w:id="0">
    <w:p w14:paraId="734923E6" w14:textId="77777777" w:rsidR="00D04FD7" w:rsidRDefault="00D04FD7" w:rsidP="00651C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F3283" w14:textId="77777777" w:rsidR="00D04FD7" w:rsidRDefault="00D04FD7" w:rsidP="00651C1E">
      <w:pPr>
        <w:spacing w:after="0"/>
      </w:pPr>
      <w:r>
        <w:separator/>
      </w:r>
    </w:p>
  </w:footnote>
  <w:footnote w:type="continuationSeparator" w:id="0">
    <w:p w14:paraId="2FE5017B" w14:textId="77777777" w:rsidR="00D04FD7" w:rsidRDefault="00D04FD7" w:rsidP="00651C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E6EB" w14:textId="081616C5" w:rsidR="00651C1E" w:rsidRDefault="00651C1E" w:rsidP="00651C1E">
    <w:pPr>
      <w:pStyle w:val="Header"/>
      <w:jc w:val="center"/>
    </w:pPr>
    <w:r w:rsidRPr="00651C1E">
      <w:rPr>
        <w:noProof/>
      </w:rPr>
      <w:drawing>
        <wp:inline distT="0" distB="0" distL="0" distR="0" wp14:anchorId="5274389D" wp14:editId="56890CD3">
          <wp:extent cx="627321" cy="525116"/>
          <wp:effectExtent l="0" t="0" r="0" b="0"/>
          <wp:docPr id="638" name="Picture 4" descr="Maaden (company) - Wikipedia">
            <a:extLst xmlns:a="http://schemas.openxmlformats.org/drawingml/2006/main">
              <a:ext uri="{FF2B5EF4-FFF2-40B4-BE49-F238E27FC236}">
                <a16:creationId xmlns:a16="http://schemas.microsoft.com/office/drawing/2014/main" id="{0C186133-E909-D489-AD52-F98DC16907A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8" name="Picture 4" descr="Maaden (company) - Wikipedia">
                    <a:extLst>
                      <a:ext uri="{FF2B5EF4-FFF2-40B4-BE49-F238E27FC236}">
                        <a16:creationId xmlns:a16="http://schemas.microsoft.com/office/drawing/2014/main" id="{0C186133-E909-D489-AD52-F98DC16907A4}"/>
                      </a:ext>
                    </a:extLst>
                  </pic:cNvP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058" cy="536615"/>
                  </a:xfrm>
                  <a:prstGeom prst="rect">
                    <a:avLst/>
                  </a:prstGeom>
                  <a:noFill/>
                </pic:spPr>
              </pic:pic>
            </a:graphicData>
          </a:graphic>
        </wp:inline>
      </w:drawing>
    </w:r>
  </w:p>
  <w:p w14:paraId="6C100D6F" w14:textId="77777777" w:rsidR="00651C1E" w:rsidRDefault="00651C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3B14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6B3462"/>
    <w:multiLevelType w:val="hybridMultilevel"/>
    <w:tmpl w:val="D2965D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B63CBE"/>
    <w:multiLevelType w:val="hybridMultilevel"/>
    <w:tmpl w:val="FC4A56DA"/>
    <w:lvl w:ilvl="0" w:tplc="71566A08">
      <w:numFmt w:val="bullet"/>
      <w:lvlText w:val=""/>
      <w:lvlJc w:val="left"/>
      <w:pPr>
        <w:ind w:left="417" w:hanging="285"/>
      </w:pPr>
      <w:rPr>
        <w:rFonts w:ascii="Symbol" w:eastAsia="Symbol" w:hAnsi="Symbol" w:cs="Symbol" w:hint="default"/>
        <w:b w:val="0"/>
        <w:bCs w:val="0"/>
        <w:i w:val="0"/>
        <w:iCs w:val="0"/>
        <w:spacing w:val="0"/>
        <w:w w:val="100"/>
        <w:sz w:val="18"/>
        <w:szCs w:val="18"/>
        <w:lang w:val="en-US" w:eastAsia="en-US" w:bidi="ar-SA"/>
      </w:rPr>
    </w:lvl>
    <w:lvl w:ilvl="1" w:tplc="31120CF8">
      <w:numFmt w:val="bullet"/>
      <w:lvlText w:val="•"/>
      <w:lvlJc w:val="left"/>
      <w:pPr>
        <w:ind w:left="1097" w:hanging="285"/>
      </w:pPr>
      <w:rPr>
        <w:rFonts w:hint="default"/>
        <w:lang w:val="en-US" w:eastAsia="en-US" w:bidi="ar-SA"/>
      </w:rPr>
    </w:lvl>
    <w:lvl w:ilvl="2" w:tplc="C96A6B76">
      <w:numFmt w:val="bullet"/>
      <w:lvlText w:val="•"/>
      <w:lvlJc w:val="left"/>
      <w:pPr>
        <w:ind w:left="1775" w:hanging="285"/>
      </w:pPr>
      <w:rPr>
        <w:rFonts w:hint="default"/>
        <w:lang w:val="en-US" w:eastAsia="en-US" w:bidi="ar-SA"/>
      </w:rPr>
    </w:lvl>
    <w:lvl w:ilvl="3" w:tplc="E896881A">
      <w:numFmt w:val="bullet"/>
      <w:lvlText w:val="•"/>
      <w:lvlJc w:val="left"/>
      <w:pPr>
        <w:ind w:left="2453" w:hanging="285"/>
      </w:pPr>
      <w:rPr>
        <w:rFonts w:hint="default"/>
        <w:lang w:val="en-US" w:eastAsia="en-US" w:bidi="ar-SA"/>
      </w:rPr>
    </w:lvl>
    <w:lvl w:ilvl="4" w:tplc="EE84FC1A">
      <w:numFmt w:val="bullet"/>
      <w:lvlText w:val="•"/>
      <w:lvlJc w:val="left"/>
      <w:pPr>
        <w:ind w:left="3130" w:hanging="285"/>
      </w:pPr>
      <w:rPr>
        <w:rFonts w:hint="default"/>
        <w:lang w:val="en-US" w:eastAsia="en-US" w:bidi="ar-SA"/>
      </w:rPr>
    </w:lvl>
    <w:lvl w:ilvl="5" w:tplc="2BD8490A">
      <w:numFmt w:val="bullet"/>
      <w:lvlText w:val="•"/>
      <w:lvlJc w:val="left"/>
      <w:pPr>
        <w:ind w:left="3808" w:hanging="285"/>
      </w:pPr>
      <w:rPr>
        <w:rFonts w:hint="default"/>
        <w:lang w:val="en-US" w:eastAsia="en-US" w:bidi="ar-SA"/>
      </w:rPr>
    </w:lvl>
    <w:lvl w:ilvl="6" w:tplc="9112ECBE">
      <w:numFmt w:val="bullet"/>
      <w:lvlText w:val="•"/>
      <w:lvlJc w:val="left"/>
      <w:pPr>
        <w:ind w:left="4486" w:hanging="285"/>
      </w:pPr>
      <w:rPr>
        <w:rFonts w:hint="default"/>
        <w:lang w:val="en-US" w:eastAsia="en-US" w:bidi="ar-SA"/>
      </w:rPr>
    </w:lvl>
    <w:lvl w:ilvl="7" w:tplc="F586C8A4">
      <w:numFmt w:val="bullet"/>
      <w:lvlText w:val="•"/>
      <w:lvlJc w:val="left"/>
      <w:pPr>
        <w:ind w:left="5163" w:hanging="285"/>
      </w:pPr>
      <w:rPr>
        <w:rFonts w:hint="default"/>
        <w:lang w:val="en-US" w:eastAsia="en-US" w:bidi="ar-SA"/>
      </w:rPr>
    </w:lvl>
    <w:lvl w:ilvl="8" w:tplc="F1F049CC">
      <w:numFmt w:val="bullet"/>
      <w:lvlText w:val="•"/>
      <w:lvlJc w:val="left"/>
      <w:pPr>
        <w:ind w:left="5841" w:hanging="285"/>
      </w:pPr>
      <w:rPr>
        <w:rFonts w:hint="default"/>
        <w:lang w:val="en-US" w:eastAsia="en-US" w:bidi="ar-SA"/>
      </w:rPr>
    </w:lvl>
  </w:abstractNum>
  <w:abstractNum w:abstractNumId="3" w15:restartNumberingAfterBreak="0">
    <w:nsid w:val="26222B75"/>
    <w:multiLevelType w:val="hybridMultilevel"/>
    <w:tmpl w:val="9FA2A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463C8D"/>
    <w:multiLevelType w:val="hybridMultilevel"/>
    <w:tmpl w:val="4B764370"/>
    <w:lvl w:ilvl="0" w:tplc="7654199A">
      <w:numFmt w:val="bullet"/>
      <w:lvlText w:val=""/>
      <w:lvlJc w:val="left"/>
      <w:pPr>
        <w:ind w:left="416" w:hanging="285"/>
      </w:pPr>
      <w:rPr>
        <w:rFonts w:ascii="Symbol" w:eastAsia="Symbol" w:hAnsi="Symbol" w:cs="Symbol" w:hint="default"/>
        <w:b w:val="0"/>
        <w:bCs w:val="0"/>
        <w:i w:val="0"/>
        <w:iCs w:val="0"/>
        <w:spacing w:val="0"/>
        <w:w w:val="100"/>
        <w:sz w:val="18"/>
        <w:szCs w:val="18"/>
        <w:lang w:val="en-US" w:eastAsia="en-US" w:bidi="ar-SA"/>
      </w:rPr>
    </w:lvl>
    <w:lvl w:ilvl="1" w:tplc="799017C8">
      <w:numFmt w:val="bullet"/>
      <w:lvlText w:val="•"/>
      <w:lvlJc w:val="left"/>
      <w:pPr>
        <w:ind w:left="1030" w:hanging="285"/>
      </w:pPr>
      <w:rPr>
        <w:rFonts w:hint="default"/>
        <w:lang w:val="en-US" w:eastAsia="en-US" w:bidi="ar-SA"/>
      </w:rPr>
    </w:lvl>
    <w:lvl w:ilvl="2" w:tplc="A45E1298">
      <w:numFmt w:val="bullet"/>
      <w:lvlText w:val="•"/>
      <w:lvlJc w:val="left"/>
      <w:pPr>
        <w:ind w:left="1641" w:hanging="285"/>
      </w:pPr>
      <w:rPr>
        <w:rFonts w:hint="default"/>
        <w:lang w:val="en-US" w:eastAsia="en-US" w:bidi="ar-SA"/>
      </w:rPr>
    </w:lvl>
    <w:lvl w:ilvl="3" w:tplc="99C0DE48">
      <w:numFmt w:val="bullet"/>
      <w:lvlText w:val="•"/>
      <w:lvlJc w:val="left"/>
      <w:pPr>
        <w:ind w:left="2251" w:hanging="285"/>
      </w:pPr>
      <w:rPr>
        <w:rFonts w:hint="default"/>
        <w:lang w:val="en-US" w:eastAsia="en-US" w:bidi="ar-SA"/>
      </w:rPr>
    </w:lvl>
    <w:lvl w:ilvl="4" w:tplc="192E5B00">
      <w:numFmt w:val="bullet"/>
      <w:lvlText w:val="•"/>
      <w:lvlJc w:val="left"/>
      <w:pPr>
        <w:ind w:left="2862" w:hanging="285"/>
      </w:pPr>
      <w:rPr>
        <w:rFonts w:hint="default"/>
        <w:lang w:val="en-US" w:eastAsia="en-US" w:bidi="ar-SA"/>
      </w:rPr>
    </w:lvl>
    <w:lvl w:ilvl="5" w:tplc="A5088C14">
      <w:numFmt w:val="bullet"/>
      <w:lvlText w:val="•"/>
      <w:lvlJc w:val="left"/>
      <w:pPr>
        <w:ind w:left="3473" w:hanging="285"/>
      </w:pPr>
      <w:rPr>
        <w:rFonts w:hint="default"/>
        <w:lang w:val="en-US" w:eastAsia="en-US" w:bidi="ar-SA"/>
      </w:rPr>
    </w:lvl>
    <w:lvl w:ilvl="6" w:tplc="66E60B0A">
      <w:numFmt w:val="bullet"/>
      <w:lvlText w:val="•"/>
      <w:lvlJc w:val="left"/>
      <w:pPr>
        <w:ind w:left="4083" w:hanging="285"/>
      </w:pPr>
      <w:rPr>
        <w:rFonts w:hint="default"/>
        <w:lang w:val="en-US" w:eastAsia="en-US" w:bidi="ar-SA"/>
      </w:rPr>
    </w:lvl>
    <w:lvl w:ilvl="7" w:tplc="DB8038D4">
      <w:numFmt w:val="bullet"/>
      <w:lvlText w:val="•"/>
      <w:lvlJc w:val="left"/>
      <w:pPr>
        <w:ind w:left="4694" w:hanging="285"/>
      </w:pPr>
      <w:rPr>
        <w:rFonts w:hint="default"/>
        <w:lang w:val="en-US" w:eastAsia="en-US" w:bidi="ar-SA"/>
      </w:rPr>
    </w:lvl>
    <w:lvl w:ilvl="8" w:tplc="6980C820">
      <w:numFmt w:val="bullet"/>
      <w:lvlText w:val="•"/>
      <w:lvlJc w:val="left"/>
      <w:pPr>
        <w:ind w:left="5304" w:hanging="285"/>
      </w:pPr>
      <w:rPr>
        <w:rFonts w:hint="default"/>
        <w:lang w:val="en-US" w:eastAsia="en-US" w:bidi="ar-SA"/>
      </w:rPr>
    </w:lvl>
  </w:abstractNum>
  <w:abstractNum w:abstractNumId="5" w15:restartNumberingAfterBreak="0">
    <w:nsid w:val="34BE2AB8"/>
    <w:multiLevelType w:val="hybridMultilevel"/>
    <w:tmpl w:val="409AA92A"/>
    <w:lvl w:ilvl="0" w:tplc="59BA9ADE">
      <w:start w:val="1"/>
      <w:numFmt w:val="bullet"/>
      <w:lvlText w:val="•"/>
      <w:lvlJc w:val="left"/>
      <w:pPr>
        <w:tabs>
          <w:tab w:val="num" w:pos="720"/>
        </w:tabs>
        <w:ind w:left="720" w:hanging="360"/>
      </w:pPr>
      <w:rPr>
        <w:rFonts w:ascii="Arial" w:hAnsi="Arial" w:hint="default"/>
      </w:rPr>
    </w:lvl>
    <w:lvl w:ilvl="1" w:tplc="9D24E616" w:tentative="1">
      <w:start w:val="1"/>
      <w:numFmt w:val="bullet"/>
      <w:lvlText w:val="•"/>
      <w:lvlJc w:val="left"/>
      <w:pPr>
        <w:tabs>
          <w:tab w:val="num" w:pos="1440"/>
        </w:tabs>
        <w:ind w:left="1440" w:hanging="360"/>
      </w:pPr>
      <w:rPr>
        <w:rFonts w:ascii="Arial" w:hAnsi="Arial" w:hint="default"/>
      </w:rPr>
    </w:lvl>
    <w:lvl w:ilvl="2" w:tplc="5838F1DC" w:tentative="1">
      <w:start w:val="1"/>
      <w:numFmt w:val="bullet"/>
      <w:lvlText w:val="•"/>
      <w:lvlJc w:val="left"/>
      <w:pPr>
        <w:tabs>
          <w:tab w:val="num" w:pos="2160"/>
        </w:tabs>
        <w:ind w:left="2160" w:hanging="360"/>
      </w:pPr>
      <w:rPr>
        <w:rFonts w:ascii="Arial" w:hAnsi="Arial" w:hint="default"/>
      </w:rPr>
    </w:lvl>
    <w:lvl w:ilvl="3" w:tplc="2A76759C" w:tentative="1">
      <w:start w:val="1"/>
      <w:numFmt w:val="bullet"/>
      <w:lvlText w:val="•"/>
      <w:lvlJc w:val="left"/>
      <w:pPr>
        <w:tabs>
          <w:tab w:val="num" w:pos="2880"/>
        </w:tabs>
        <w:ind w:left="2880" w:hanging="360"/>
      </w:pPr>
      <w:rPr>
        <w:rFonts w:ascii="Arial" w:hAnsi="Arial" w:hint="default"/>
      </w:rPr>
    </w:lvl>
    <w:lvl w:ilvl="4" w:tplc="8108AF92" w:tentative="1">
      <w:start w:val="1"/>
      <w:numFmt w:val="bullet"/>
      <w:lvlText w:val="•"/>
      <w:lvlJc w:val="left"/>
      <w:pPr>
        <w:tabs>
          <w:tab w:val="num" w:pos="3600"/>
        </w:tabs>
        <w:ind w:left="3600" w:hanging="360"/>
      </w:pPr>
      <w:rPr>
        <w:rFonts w:ascii="Arial" w:hAnsi="Arial" w:hint="default"/>
      </w:rPr>
    </w:lvl>
    <w:lvl w:ilvl="5" w:tplc="1F602E96" w:tentative="1">
      <w:start w:val="1"/>
      <w:numFmt w:val="bullet"/>
      <w:lvlText w:val="•"/>
      <w:lvlJc w:val="left"/>
      <w:pPr>
        <w:tabs>
          <w:tab w:val="num" w:pos="4320"/>
        </w:tabs>
        <w:ind w:left="4320" w:hanging="360"/>
      </w:pPr>
      <w:rPr>
        <w:rFonts w:ascii="Arial" w:hAnsi="Arial" w:hint="default"/>
      </w:rPr>
    </w:lvl>
    <w:lvl w:ilvl="6" w:tplc="A752763E" w:tentative="1">
      <w:start w:val="1"/>
      <w:numFmt w:val="bullet"/>
      <w:lvlText w:val="•"/>
      <w:lvlJc w:val="left"/>
      <w:pPr>
        <w:tabs>
          <w:tab w:val="num" w:pos="5040"/>
        </w:tabs>
        <w:ind w:left="5040" w:hanging="360"/>
      </w:pPr>
      <w:rPr>
        <w:rFonts w:ascii="Arial" w:hAnsi="Arial" w:hint="default"/>
      </w:rPr>
    </w:lvl>
    <w:lvl w:ilvl="7" w:tplc="B87E6BE0" w:tentative="1">
      <w:start w:val="1"/>
      <w:numFmt w:val="bullet"/>
      <w:lvlText w:val="•"/>
      <w:lvlJc w:val="left"/>
      <w:pPr>
        <w:tabs>
          <w:tab w:val="num" w:pos="5760"/>
        </w:tabs>
        <w:ind w:left="5760" w:hanging="360"/>
      </w:pPr>
      <w:rPr>
        <w:rFonts w:ascii="Arial" w:hAnsi="Arial" w:hint="default"/>
      </w:rPr>
    </w:lvl>
    <w:lvl w:ilvl="8" w:tplc="D286116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C453645"/>
    <w:multiLevelType w:val="hybridMultilevel"/>
    <w:tmpl w:val="74B00F0C"/>
    <w:lvl w:ilvl="0" w:tplc="AF7CD168">
      <w:start w:val="1"/>
      <w:numFmt w:val="bullet"/>
      <w:lvlText w:val=""/>
      <w:lvlJc w:val="left"/>
      <w:pPr>
        <w:ind w:left="360" w:hanging="360"/>
      </w:pPr>
      <w:rPr>
        <w:rFonts w:ascii="Wingdings" w:hAnsi="Wingdings" w:hint="default"/>
      </w:rPr>
    </w:lvl>
    <w:lvl w:ilvl="1" w:tplc="266A3664">
      <w:start w:val="1"/>
      <w:numFmt w:val="bullet"/>
      <w:lvlText w:val=""/>
      <w:lvlJc w:val="left"/>
      <w:pPr>
        <w:ind w:left="1080" w:hanging="360"/>
      </w:pPr>
      <w:rPr>
        <w:rFonts w:ascii="Wingdings" w:hAnsi="Wingdings" w:hint="default"/>
      </w:rPr>
    </w:lvl>
    <w:lvl w:ilvl="2" w:tplc="F5ECED74">
      <w:start w:val="1"/>
      <w:numFmt w:val="bullet"/>
      <w:lvlText w:val=""/>
      <w:lvlJc w:val="left"/>
      <w:pPr>
        <w:ind w:left="1800" w:hanging="360"/>
      </w:pPr>
      <w:rPr>
        <w:rFonts w:ascii="Wingdings" w:hAnsi="Wingdings" w:hint="default"/>
      </w:rPr>
    </w:lvl>
    <w:lvl w:ilvl="3" w:tplc="1FEE2FB4">
      <w:start w:val="1"/>
      <w:numFmt w:val="bullet"/>
      <w:lvlText w:val=""/>
      <w:lvlJc w:val="left"/>
      <w:pPr>
        <w:ind w:left="2520" w:hanging="360"/>
      </w:pPr>
      <w:rPr>
        <w:rFonts w:ascii="Wingdings" w:hAnsi="Wingdings" w:hint="default"/>
      </w:rPr>
    </w:lvl>
    <w:lvl w:ilvl="4" w:tplc="8A7ADD8A">
      <w:start w:val="1"/>
      <w:numFmt w:val="bullet"/>
      <w:lvlText w:val=""/>
      <w:lvlJc w:val="left"/>
      <w:pPr>
        <w:ind w:left="3240" w:hanging="360"/>
      </w:pPr>
      <w:rPr>
        <w:rFonts w:ascii="Wingdings" w:hAnsi="Wingdings" w:hint="default"/>
      </w:rPr>
    </w:lvl>
    <w:lvl w:ilvl="5" w:tplc="A3882DA8">
      <w:start w:val="1"/>
      <w:numFmt w:val="bullet"/>
      <w:lvlText w:val=""/>
      <w:lvlJc w:val="left"/>
      <w:pPr>
        <w:ind w:left="3960" w:hanging="360"/>
      </w:pPr>
      <w:rPr>
        <w:rFonts w:ascii="Wingdings" w:hAnsi="Wingdings" w:hint="default"/>
      </w:rPr>
    </w:lvl>
    <w:lvl w:ilvl="6" w:tplc="FB84B65E">
      <w:start w:val="1"/>
      <w:numFmt w:val="bullet"/>
      <w:lvlText w:val=""/>
      <w:lvlJc w:val="left"/>
      <w:pPr>
        <w:ind w:left="4680" w:hanging="360"/>
      </w:pPr>
      <w:rPr>
        <w:rFonts w:ascii="Wingdings" w:hAnsi="Wingdings" w:hint="default"/>
      </w:rPr>
    </w:lvl>
    <w:lvl w:ilvl="7" w:tplc="E8BE3E00">
      <w:start w:val="1"/>
      <w:numFmt w:val="bullet"/>
      <w:lvlText w:val=""/>
      <w:lvlJc w:val="left"/>
      <w:pPr>
        <w:ind w:left="5400" w:hanging="360"/>
      </w:pPr>
      <w:rPr>
        <w:rFonts w:ascii="Wingdings" w:hAnsi="Wingdings" w:hint="default"/>
      </w:rPr>
    </w:lvl>
    <w:lvl w:ilvl="8" w:tplc="167E4D7C">
      <w:start w:val="1"/>
      <w:numFmt w:val="bullet"/>
      <w:lvlText w:val=""/>
      <w:lvlJc w:val="left"/>
      <w:pPr>
        <w:ind w:left="6120" w:hanging="360"/>
      </w:pPr>
      <w:rPr>
        <w:rFonts w:ascii="Wingdings" w:hAnsi="Wingdings" w:hint="default"/>
      </w:rPr>
    </w:lvl>
  </w:abstractNum>
  <w:abstractNum w:abstractNumId="7" w15:restartNumberingAfterBreak="0">
    <w:nsid w:val="4E6E11D8"/>
    <w:multiLevelType w:val="hybridMultilevel"/>
    <w:tmpl w:val="6A0CC1DC"/>
    <w:lvl w:ilvl="0" w:tplc="BD04E7E2">
      <w:numFmt w:val="bullet"/>
      <w:lvlText w:val=""/>
      <w:lvlJc w:val="left"/>
      <w:pPr>
        <w:ind w:left="7190" w:hanging="285"/>
      </w:pPr>
      <w:rPr>
        <w:rFonts w:ascii="Symbol" w:eastAsia="Symbol" w:hAnsi="Symbol" w:cs="Symbol" w:hint="default"/>
        <w:b w:val="0"/>
        <w:bCs w:val="0"/>
        <w:i w:val="0"/>
        <w:iCs w:val="0"/>
        <w:spacing w:val="0"/>
        <w:w w:val="100"/>
        <w:sz w:val="18"/>
        <w:szCs w:val="18"/>
        <w:lang w:val="en-US" w:eastAsia="en-US" w:bidi="ar-SA"/>
      </w:rPr>
    </w:lvl>
    <w:lvl w:ilvl="1" w:tplc="845C3B30">
      <w:numFmt w:val="bullet"/>
      <w:lvlText w:val="•"/>
      <w:lvlJc w:val="left"/>
      <w:pPr>
        <w:ind w:left="7877" w:hanging="285"/>
      </w:pPr>
      <w:rPr>
        <w:rFonts w:hint="default"/>
        <w:lang w:val="en-US" w:eastAsia="en-US" w:bidi="ar-SA"/>
      </w:rPr>
    </w:lvl>
    <w:lvl w:ilvl="2" w:tplc="FDC64B8A">
      <w:numFmt w:val="bullet"/>
      <w:lvlText w:val="•"/>
      <w:lvlJc w:val="left"/>
      <w:pPr>
        <w:ind w:left="8554" w:hanging="285"/>
      </w:pPr>
      <w:rPr>
        <w:rFonts w:hint="default"/>
        <w:lang w:val="en-US" w:eastAsia="en-US" w:bidi="ar-SA"/>
      </w:rPr>
    </w:lvl>
    <w:lvl w:ilvl="3" w:tplc="682A693C">
      <w:numFmt w:val="bullet"/>
      <w:lvlText w:val="•"/>
      <w:lvlJc w:val="left"/>
      <w:pPr>
        <w:ind w:left="9231" w:hanging="285"/>
      </w:pPr>
      <w:rPr>
        <w:rFonts w:hint="default"/>
        <w:lang w:val="en-US" w:eastAsia="en-US" w:bidi="ar-SA"/>
      </w:rPr>
    </w:lvl>
    <w:lvl w:ilvl="4" w:tplc="B41E5C1E">
      <w:numFmt w:val="bullet"/>
      <w:lvlText w:val="•"/>
      <w:lvlJc w:val="left"/>
      <w:pPr>
        <w:ind w:left="9908" w:hanging="285"/>
      </w:pPr>
      <w:rPr>
        <w:rFonts w:hint="default"/>
        <w:lang w:val="en-US" w:eastAsia="en-US" w:bidi="ar-SA"/>
      </w:rPr>
    </w:lvl>
    <w:lvl w:ilvl="5" w:tplc="64A22C4A">
      <w:numFmt w:val="bullet"/>
      <w:lvlText w:val="•"/>
      <w:lvlJc w:val="left"/>
      <w:pPr>
        <w:ind w:left="10585" w:hanging="285"/>
      </w:pPr>
      <w:rPr>
        <w:rFonts w:hint="default"/>
        <w:lang w:val="en-US" w:eastAsia="en-US" w:bidi="ar-SA"/>
      </w:rPr>
    </w:lvl>
    <w:lvl w:ilvl="6" w:tplc="8B781AA2">
      <w:numFmt w:val="bullet"/>
      <w:lvlText w:val="•"/>
      <w:lvlJc w:val="left"/>
      <w:pPr>
        <w:ind w:left="11262" w:hanging="285"/>
      </w:pPr>
      <w:rPr>
        <w:rFonts w:hint="default"/>
        <w:lang w:val="en-US" w:eastAsia="en-US" w:bidi="ar-SA"/>
      </w:rPr>
    </w:lvl>
    <w:lvl w:ilvl="7" w:tplc="3C6697CE">
      <w:numFmt w:val="bullet"/>
      <w:lvlText w:val="•"/>
      <w:lvlJc w:val="left"/>
      <w:pPr>
        <w:ind w:left="11939" w:hanging="285"/>
      </w:pPr>
      <w:rPr>
        <w:rFonts w:hint="default"/>
        <w:lang w:val="en-US" w:eastAsia="en-US" w:bidi="ar-SA"/>
      </w:rPr>
    </w:lvl>
    <w:lvl w:ilvl="8" w:tplc="30EAF368">
      <w:numFmt w:val="bullet"/>
      <w:lvlText w:val="•"/>
      <w:lvlJc w:val="left"/>
      <w:pPr>
        <w:ind w:left="12616" w:hanging="285"/>
      </w:pPr>
      <w:rPr>
        <w:rFonts w:hint="default"/>
        <w:lang w:val="en-US" w:eastAsia="en-US" w:bidi="ar-SA"/>
      </w:rPr>
    </w:lvl>
  </w:abstractNum>
  <w:abstractNum w:abstractNumId="8" w15:restartNumberingAfterBreak="0">
    <w:nsid w:val="51224FC8"/>
    <w:multiLevelType w:val="hybridMultilevel"/>
    <w:tmpl w:val="E81C0E48"/>
    <w:lvl w:ilvl="0" w:tplc="2CC6EDC0">
      <w:numFmt w:val="bullet"/>
      <w:lvlText w:val=""/>
      <w:lvlJc w:val="left"/>
      <w:pPr>
        <w:ind w:left="411" w:hanging="285"/>
      </w:pPr>
      <w:rPr>
        <w:rFonts w:ascii="Symbol" w:eastAsia="Symbol" w:hAnsi="Symbol" w:cs="Symbol" w:hint="default"/>
        <w:b w:val="0"/>
        <w:bCs w:val="0"/>
        <w:i w:val="0"/>
        <w:iCs w:val="0"/>
        <w:spacing w:val="0"/>
        <w:w w:val="100"/>
        <w:sz w:val="18"/>
        <w:szCs w:val="18"/>
        <w:lang w:val="en-US" w:eastAsia="en-US" w:bidi="ar-SA"/>
      </w:rPr>
    </w:lvl>
    <w:lvl w:ilvl="1" w:tplc="83605A16">
      <w:numFmt w:val="bullet"/>
      <w:lvlText w:val="•"/>
      <w:lvlJc w:val="left"/>
      <w:pPr>
        <w:ind w:left="1097" w:hanging="285"/>
      </w:pPr>
      <w:rPr>
        <w:rFonts w:hint="default"/>
        <w:lang w:val="en-US" w:eastAsia="en-US" w:bidi="ar-SA"/>
      </w:rPr>
    </w:lvl>
    <w:lvl w:ilvl="2" w:tplc="94C25EF0">
      <w:numFmt w:val="bullet"/>
      <w:lvlText w:val="•"/>
      <w:lvlJc w:val="left"/>
      <w:pPr>
        <w:ind w:left="1774" w:hanging="285"/>
      </w:pPr>
      <w:rPr>
        <w:rFonts w:hint="default"/>
        <w:lang w:val="en-US" w:eastAsia="en-US" w:bidi="ar-SA"/>
      </w:rPr>
    </w:lvl>
    <w:lvl w:ilvl="3" w:tplc="71985626">
      <w:numFmt w:val="bullet"/>
      <w:lvlText w:val="•"/>
      <w:lvlJc w:val="left"/>
      <w:pPr>
        <w:ind w:left="2451" w:hanging="285"/>
      </w:pPr>
      <w:rPr>
        <w:rFonts w:hint="default"/>
        <w:lang w:val="en-US" w:eastAsia="en-US" w:bidi="ar-SA"/>
      </w:rPr>
    </w:lvl>
    <w:lvl w:ilvl="4" w:tplc="6AA822F2">
      <w:numFmt w:val="bullet"/>
      <w:lvlText w:val="•"/>
      <w:lvlJc w:val="left"/>
      <w:pPr>
        <w:ind w:left="3128" w:hanging="285"/>
      </w:pPr>
      <w:rPr>
        <w:rFonts w:hint="default"/>
        <w:lang w:val="en-US" w:eastAsia="en-US" w:bidi="ar-SA"/>
      </w:rPr>
    </w:lvl>
    <w:lvl w:ilvl="5" w:tplc="EDFC5BD0">
      <w:numFmt w:val="bullet"/>
      <w:lvlText w:val="•"/>
      <w:lvlJc w:val="left"/>
      <w:pPr>
        <w:ind w:left="3806" w:hanging="285"/>
      </w:pPr>
      <w:rPr>
        <w:rFonts w:hint="default"/>
        <w:lang w:val="en-US" w:eastAsia="en-US" w:bidi="ar-SA"/>
      </w:rPr>
    </w:lvl>
    <w:lvl w:ilvl="6" w:tplc="8E165206">
      <w:numFmt w:val="bullet"/>
      <w:lvlText w:val="•"/>
      <w:lvlJc w:val="left"/>
      <w:pPr>
        <w:ind w:left="4483" w:hanging="285"/>
      </w:pPr>
      <w:rPr>
        <w:rFonts w:hint="default"/>
        <w:lang w:val="en-US" w:eastAsia="en-US" w:bidi="ar-SA"/>
      </w:rPr>
    </w:lvl>
    <w:lvl w:ilvl="7" w:tplc="09AC6310">
      <w:numFmt w:val="bullet"/>
      <w:lvlText w:val="•"/>
      <w:lvlJc w:val="left"/>
      <w:pPr>
        <w:ind w:left="5160" w:hanging="285"/>
      </w:pPr>
      <w:rPr>
        <w:rFonts w:hint="default"/>
        <w:lang w:val="en-US" w:eastAsia="en-US" w:bidi="ar-SA"/>
      </w:rPr>
    </w:lvl>
    <w:lvl w:ilvl="8" w:tplc="E75EA656">
      <w:numFmt w:val="bullet"/>
      <w:lvlText w:val="•"/>
      <w:lvlJc w:val="left"/>
      <w:pPr>
        <w:ind w:left="5837" w:hanging="285"/>
      </w:pPr>
      <w:rPr>
        <w:rFonts w:hint="default"/>
        <w:lang w:val="en-US" w:eastAsia="en-US" w:bidi="ar-SA"/>
      </w:rPr>
    </w:lvl>
  </w:abstractNum>
  <w:abstractNum w:abstractNumId="9" w15:restartNumberingAfterBreak="0">
    <w:nsid w:val="5EFC4067"/>
    <w:multiLevelType w:val="hybridMultilevel"/>
    <w:tmpl w:val="BF0A996A"/>
    <w:lvl w:ilvl="0" w:tplc="F6D04D5E">
      <w:numFmt w:val="bullet"/>
      <w:lvlText w:val=""/>
      <w:lvlJc w:val="left"/>
      <w:pPr>
        <w:ind w:left="460" w:hanging="285"/>
      </w:pPr>
      <w:rPr>
        <w:rFonts w:ascii="Symbol" w:eastAsia="Symbol" w:hAnsi="Symbol" w:cs="Symbol" w:hint="default"/>
        <w:b w:val="0"/>
        <w:bCs w:val="0"/>
        <w:i w:val="0"/>
        <w:iCs w:val="0"/>
        <w:spacing w:val="0"/>
        <w:w w:val="100"/>
        <w:sz w:val="18"/>
        <w:szCs w:val="18"/>
        <w:lang w:val="en-US" w:eastAsia="en-US" w:bidi="ar-SA"/>
      </w:rPr>
    </w:lvl>
    <w:lvl w:ilvl="1" w:tplc="A32663C6">
      <w:numFmt w:val="bullet"/>
      <w:lvlText w:val="•"/>
      <w:lvlJc w:val="left"/>
      <w:pPr>
        <w:ind w:left="1138" w:hanging="285"/>
      </w:pPr>
      <w:rPr>
        <w:rFonts w:hint="default"/>
        <w:lang w:val="en-US" w:eastAsia="en-US" w:bidi="ar-SA"/>
      </w:rPr>
    </w:lvl>
    <w:lvl w:ilvl="2" w:tplc="3EC098EE">
      <w:numFmt w:val="bullet"/>
      <w:lvlText w:val="•"/>
      <w:lvlJc w:val="left"/>
      <w:pPr>
        <w:ind w:left="1816" w:hanging="285"/>
      </w:pPr>
      <w:rPr>
        <w:rFonts w:hint="default"/>
        <w:lang w:val="en-US" w:eastAsia="en-US" w:bidi="ar-SA"/>
      </w:rPr>
    </w:lvl>
    <w:lvl w:ilvl="3" w:tplc="82C8B61A">
      <w:numFmt w:val="bullet"/>
      <w:lvlText w:val="•"/>
      <w:lvlJc w:val="left"/>
      <w:pPr>
        <w:ind w:left="2494" w:hanging="285"/>
      </w:pPr>
      <w:rPr>
        <w:rFonts w:hint="default"/>
        <w:lang w:val="en-US" w:eastAsia="en-US" w:bidi="ar-SA"/>
      </w:rPr>
    </w:lvl>
    <w:lvl w:ilvl="4" w:tplc="725CBE60">
      <w:numFmt w:val="bullet"/>
      <w:lvlText w:val="•"/>
      <w:lvlJc w:val="left"/>
      <w:pPr>
        <w:ind w:left="3172" w:hanging="285"/>
      </w:pPr>
      <w:rPr>
        <w:rFonts w:hint="default"/>
        <w:lang w:val="en-US" w:eastAsia="en-US" w:bidi="ar-SA"/>
      </w:rPr>
    </w:lvl>
    <w:lvl w:ilvl="5" w:tplc="1348276C">
      <w:numFmt w:val="bullet"/>
      <w:lvlText w:val="•"/>
      <w:lvlJc w:val="left"/>
      <w:pPr>
        <w:ind w:left="3851" w:hanging="285"/>
      </w:pPr>
      <w:rPr>
        <w:rFonts w:hint="default"/>
        <w:lang w:val="en-US" w:eastAsia="en-US" w:bidi="ar-SA"/>
      </w:rPr>
    </w:lvl>
    <w:lvl w:ilvl="6" w:tplc="A5984750">
      <w:numFmt w:val="bullet"/>
      <w:lvlText w:val="•"/>
      <w:lvlJc w:val="left"/>
      <w:pPr>
        <w:ind w:left="4529" w:hanging="285"/>
      </w:pPr>
      <w:rPr>
        <w:rFonts w:hint="default"/>
        <w:lang w:val="en-US" w:eastAsia="en-US" w:bidi="ar-SA"/>
      </w:rPr>
    </w:lvl>
    <w:lvl w:ilvl="7" w:tplc="455409AC">
      <w:numFmt w:val="bullet"/>
      <w:lvlText w:val="•"/>
      <w:lvlJc w:val="left"/>
      <w:pPr>
        <w:ind w:left="5207" w:hanging="285"/>
      </w:pPr>
      <w:rPr>
        <w:rFonts w:hint="default"/>
        <w:lang w:val="en-US" w:eastAsia="en-US" w:bidi="ar-SA"/>
      </w:rPr>
    </w:lvl>
    <w:lvl w:ilvl="8" w:tplc="90A21F32">
      <w:numFmt w:val="bullet"/>
      <w:lvlText w:val="•"/>
      <w:lvlJc w:val="left"/>
      <w:pPr>
        <w:ind w:left="5885" w:hanging="285"/>
      </w:pPr>
      <w:rPr>
        <w:rFonts w:hint="default"/>
        <w:lang w:val="en-US" w:eastAsia="en-US" w:bidi="ar-SA"/>
      </w:rPr>
    </w:lvl>
  </w:abstractNum>
  <w:abstractNum w:abstractNumId="10" w15:restartNumberingAfterBreak="0">
    <w:nsid w:val="768D5A38"/>
    <w:multiLevelType w:val="hybridMultilevel"/>
    <w:tmpl w:val="DF54142A"/>
    <w:lvl w:ilvl="0" w:tplc="EA24EC0A">
      <w:numFmt w:val="bullet"/>
      <w:lvlText w:val=""/>
      <w:lvlJc w:val="left"/>
      <w:pPr>
        <w:ind w:left="493" w:hanging="285"/>
      </w:pPr>
      <w:rPr>
        <w:rFonts w:ascii="Symbol" w:eastAsia="Symbol" w:hAnsi="Symbol" w:cs="Symbol" w:hint="default"/>
        <w:b w:val="0"/>
        <w:bCs w:val="0"/>
        <w:i w:val="0"/>
        <w:iCs w:val="0"/>
        <w:spacing w:val="0"/>
        <w:w w:val="100"/>
        <w:sz w:val="18"/>
        <w:szCs w:val="18"/>
        <w:lang w:val="en-US" w:eastAsia="en-US" w:bidi="ar-SA"/>
      </w:rPr>
    </w:lvl>
    <w:lvl w:ilvl="1" w:tplc="FFDEAB3C">
      <w:numFmt w:val="bullet"/>
      <w:lvlText w:val="•"/>
      <w:lvlJc w:val="left"/>
      <w:pPr>
        <w:ind w:left="1087" w:hanging="285"/>
      </w:pPr>
      <w:rPr>
        <w:rFonts w:hint="default"/>
        <w:lang w:val="en-US" w:eastAsia="en-US" w:bidi="ar-SA"/>
      </w:rPr>
    </w:lvl>
    <w:lvl w:ilvl="2" w:tplc="97C039BE">
      <w:numFmt w:val="bullet"/>
      <w:lvlText w:val="•"/>
      <w:lvlJc w:val="left"/>
      <w:pPr>
        <w:ind w:left="1674" w:hanging="285"/>
      </w:pPr>
      <w:rPr>
        <w:rFonts w:hint="default"/>
        <w:lang w:val="en-US" w:eastAsia="en-US" w:bidi="ar-SA"/>
      </w:rPr>
    </w:lvl>
    <w:lvl w:ilvl="3" w:tplc="992CA7CE">
      <w:numFmt w:val="bullet"/>
      <w:lvlText w:val="•"/>
      <w:lvlJc w:val="left"/>
      <w:pPr>
        <w:ind w:left="2261" w:hanging="285"/>
      </w:pPr>
      <w:rPr>
        <w:rFonts w:hint="default"/>
        <w:lang w:val="en-US" w:eastAsia="en-US" w:bidi="ar-SA"/>
      </w:rPr>
    </w:lvl>
    <w:lvl w:ilvl="4" w:tplc="FDFAF4D8">
      <w:numFmt w:val="bullet"/>
      <w:lvlText w:val="•"/>
      <w:lvlJc w:val="left"/>
      <w:pPr>
        <w:ind w:left="2848" w:hanging="285"/>
      </w:pPr>
      <w:rPr>
        <w:rFonts w:hint="default"/>
        <w:lang w:val="en-US" w:eastAsia="en-US" w:bidi="ar-SA"/>
      </w:rPr>
    </w:lvl>
    <w:lvl w:ilvl="5" w:tplc="A008DAEE">
      <w:numFmt w:val="bullet"/>
      <w:lvlText w:val="•"/>
      <w:lvlJc w:val="left"/>
      <w:pPr>
        <w:ind w:left="3435" w:hanging="285"/>
      </w:pPr>
      <w:rPr>
        <w:rFonts w:hint="default"/>
        <w:lang w:val="en-US" w:eastAsia="en-US" w:bidi="ar-SA"/>
      </w:rPr>
    </w:lvl>
    <w:lvl w:ilvl="6" w:tplc="58B23A86">
      <w:numFmt w:val="bullet"/>
      <w:lvlText w:val="•"/>
      <w:lvlJc w:val="left"/>
      <w:pPr>
        <w:ind w:left="4022" w:hanging="285"/>
      </w:pPr>
      <w:rPr>
        <w:rFonts w:hint="default"/>
        <w:lang w:val="en-US" w:eastAsia="en-US" w:bidi="ar-SA"/>
      </w:rPr>
    </w:lvl>
    <w:lvl w:ilvl="7" w:tplc="9C04D4FA">
      <w:numFmt w:val="bullet"/>
      <w:lvlText w:val="•"/>
      <w:lvlJc w:val="left"/>
      <w:pPr>
        <w:ind w:left="4609" w:hanging="285"/>
      </w:pPr>
      <w:rPr>
        <w:rFonts w:hint="default"/>
        <w:lang w:val="en-US" w:eastAsia="en-US" w:bidi="ar-SA"/>
      </w:rPr>
    </w:lvl>
    <w:lvl w:ilvl="8" w:tplc="258A7B5E">
      <w:numFmt w:val="bullet"/>
      <w:lvlText w:val="•"/>
      <w:lvlJc w:val="left"/>
      <w:pPr>
        <w:ind w:left="5196" w:hanging="285"/>
      </w:pPr>
      <w:rPr>
        <w:rFonts w:hint="default"/>
        <w:lang w:val="en-US" w:eastAsia="en-US" w:bidi="ar-SA"/>
      </w:rPr>
    </w:lvl>
  </w:abstractNum>
  <w:abstractNum w:abstractNumId="11" w15:restartNumberingAfterBreak="0">
    <w:nsid w:val="7DDC3C7C"/>
    <w:multiLevelType w:val="hybridMultilevel"/>
    <w:tmpl w:val="2A8A464C"/>
    <w:lvl w:ilvl="0" w:tplc="473644CC">
      <w:start w:val="1"/>
      <w:numFmt w:val="bullet"/>
      <w:lvlText w:val="•"/>
      <w:lvlJc w:val="left"/>
      <w:pPr>
        <w:tabs>
          <w:tab w:val="num" w:pos="720"/>
        </w:tabs>
        <w:ind w:left="720" w:hanging="360"/>
      </w:pPr>
      <w:rPr>
        <w:rFonts w:ascii="Arial" w:hAnsi="Arial" w:hint="default"/>
      </w:rPr>
    </w:lvl>
    <w:lvl w:ilvl="1" w:tplc="B450DCFC" w:tentative="1">
      <w:start w:val="1"/>
      <w:numFmt w:val="bullet"/>
      <w:lvlText w:val="•"/>
      <w:lvlJc w:val="left"/>
      <w:pPr>
        <w:tabs>
          <w:tab w:val="num" w:pos="1440"/>
        </w:tabs>
        <w:ind w:left="1440" w:hanging="360"/>
      </w:pPr>
      <w:rPr>
        <w:rFonts w:ascii="Arial" w:hAnsi="Arial" w:hint="default"/>
      </w:rPr>
    </w:lvl>
    <w:lvl w:ilvl="2" w:tplc="5290F97C" w:tentative="1">
      <w:start w:val="1"/>
      <w:numFmt w:val="bullet"/>
      <w:lvlText w:val="•"/>
      <w:lvlJc w:val="left"/>
      <w:pPr>
        <w:tabs>
          <w:tab w:val="num" w:pos="2160"/>
        </w:tabs>
        <w:ind w:left="2160" w:hanging="360"/>
      </w:pPr>
      <w:rPr>
        <w:rFonts w:ascii="Arial" w:hAnsi="Arial" w:hint="default"/>
      </w:rPr>
    </w:lvl>
    <w:lvl w:ilvl="3" w:tplc="C58894BE" w:tentative="1">
      <w:start w:val="1"/>
      <w:numFmt w:val="bullet"/>
      <w:lvlText w:val="•"/>
      <w:lvlJc w:val="left"/>
      <w:pPr>
        <w:tabs>
          <w:tab w:val="num" w:pos="2880"/>
        </w:tabs>
        <w:ind w:left="2880" w:hanging="360"/>
      </w:pPr>
      <w:rPr>
        <w:rFonts w:ascii="Arial" w:hAnsi="Arial" w:hint="default"/>
      </w:rPr>
    </w:lvl>
    <w:lvl w:ilvl="4" w:tplc="B70E486E" w:tentative="1">
      <w:start w:val="1"/>
      <w:numFmt w:val="bullet"/>
      <w:lvlText w:val="•"/>
      <w:lvlJc w:val="left"/>
      <w:pPr>
        <w:tabs>
          <w:tab w:val="num" w:pos="3600"/>
        </w:tabs>
        <w:ind w:left="3600" w:hanging="360"/>
      </w:pPr>
      <w:rPr>
        <w:rFonts w:ascii="Arial" w:hAnsi="Arial" w:hint="default"/>
      </w:rPr>
    </w:lvl>
    <w:lvl w:ilvl="5" w:tplc="F65606AE" w:tentative="1">
      <w:start w:val="1"/>
      <w:numFmt w:val="bullet"/>
      <w:lvlText w:val="•"/>
      <w:lvlJc w:val="left"/>
      <w:pPr>
        <w:tabs>
          <w:tab w:val="num" w:pos="4320"/>
        </w:tabs>
        <w:ind w:left="4320" w:hanging="360"/>
      </w:pPr>
      <w:rPr>
        <w:rFonts w:ascii="Arial" w:hAnsi="Arial" w:hint="default"/>
      </w:rPr>
    </w:lvl>
    <w:lvl w:ilvl="6" w:tplc="BB4E3524" w:tentative="1">
      <w:start w:val="1"/>
      <w:numFmt w:val="bullet"/>
      <w:lvlText w:val="•"/>
      <w:lvlJc w:val="left"/>
      <w:pPr>
        <w:tabs>
          <w:tab w:val="num" w:pos="5040"/>
        </w:tabs>
        <w:ind w:left="5040" w:hanging="360"/>
      </w:pPr>
      <w:rPr>
        <w:rFonts w:ascii="Arial" w:hAnsi="Arial" w:hint="default"/>
      </w:rPr>
    </w:lvl>
    <w:lvl w:ilvl="7" w:tplc="0BF4D6A8" w:tentative="1">
      <w:start w:val="1"/>
      <w:numFmt w:val="bullet"/>
      <w:lvlText w:val="•"/>
      <w:lvlJc w:val="left"/>
      <w:pPr>
        <w:tabs>
          <w:tab w:val="num" w:pos="5760"/>
        </w:tabs>
        <w:ind w:left="5760" w:hanging="360"/>
      </w:pPr>
      <w:rPr>
        <w:rFonts w:ascii="Arial" w:hAnsi="Arial" w:hint="default"/>
      </w:rPr>
    </w:lvl>
    <w:lvl w:ilvl="8" w:tplc="6F7433D2" w:tentative="1">
      <w:start w:val="1"/>
      <w:numFmt w:val="bullet"/>
      <w:lvlText w:val="•"/>
      <w:lvlJc w:val="left"/>
      <w:pPr>
        <w:tabs>
          <w:tab w:val="num" w:pos="6480"/>
        </w:tabs>
        <w:ind w:left="6480" w:hanging="360"/>
      </w:pPr>
      <w:rPr>
        <w:rFonts w:ascii="Arial" w:hAnsi="Arial" w:hint="default"/>
      </w:rPr>
    </w:lvl>
  </w:abstractNum>
  <w:num w:numId="1" w16cid:durableId="1039285141">
    <w:abstractNumId w:val="1"/>
  </w:num>
  <w:num w:numId="2" w16cid:durableId="306596037">
    <w:abstractNumId w:val="7"/>
  </w:num>
  <w:num w:numId="3" w16cid:durableId="98912119">
    <w:abstractNumId w:val="8"/>
  </w:num>
  <w:num w:numId="4" w16cid:durableId="2054188107">
    <w:abstractNumId w:val="9"/>
  </w:num>
  <w:num w:numId="5" w16cid:durableId="293171285">
    <w:abstractNumId w:val="2"/>
  </w:num>
  <w:num w:numId="6" w16cid:durableId="1281567353">
    <w:abstractNumId w:val="10"/>
  </w:num>
  <w:num w:numId="7" w16cid:durableId="1114833649">
    <w:abstractNumId w:val="4"/>
  </w:num>
  <w:num w:numId="8" w16cid:durableId="1666393926">
    <w:abstractNumId w:val="0"/>
  </w:num>
  <w:num w:numId="9" w16cid:durableId="1012492201">
    <w:abstractNumId w:val="11"/>
  </w:num>
  <w:num w:numId="10" w16cid:durableId="976228112">
    <w:abstractNumId w:val="5"/>
  </w:num>
  <w:num w:numId="11" w16cid:durableId="1700928545">
    <w:abstractNumId w:val="6"/>
  </w:num>
  <w:num w:numId="12" w16cid:durableId="810176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77"/>
    <w:rsid w:val="00006767"/>
    <w:rsid w:val="00037CBE"/>
    <w:rsid w:val="00047452"/>
    <w:rsid w:val="00047906"/>
    <w:rsid w:val="00057798"/>
    <w:rsid w:val="000579E0"/>
    <w:rsid w:val="0006017F"/>
    <w:rsid w:val="00073F43"/>
    <w:rsid w:val="000754AB"/>
    <w:rsid w:val="00086673"/>
    <w:rsid w:val="00091824"/>
    <w:rsid w:val="000A0C4C"/>
    <w:rsid w:val="000A5782"/>
    <w:rsid w:val="000B00E3"/>
    <w:rsid w:val="000B16C0"/>
    <w:rsid w:val="000C0590"/>
    <w:rsid w:val="000C1E07"/>
    <w:rsid w:val="000C6E6B"/>
    <w:rsid w:val="000D20C2"/>
    <w:rsid w:val="000E4F1C"/>
    <w:rsid w:val="000E7414"/>
    <w:rsid w:val="000F3A74"/>
    <w:rsid w:val="000F6B77"/>
    <w:rsid w:val="00112549"/>
    <w:rsid w:val="00113B4C"/>
    <w:rsid w:val="0013003E"/>
    <w:rsid w:val="00131472"/>
    <w:rsid w:val="00140733"/>
    <w:rsid w:val="00142B09"/>
    <w:rsid w:val="00143B87"/>
    <w:rsid w:val="001468B7"/>
    <w:rsid w:val="00170C7C"/>
    <w:rsid w:val="00171C20"/>
    <w:rsid w:val="00176476"/>
    <w:rsid w:val="001837C5"/>
    <w:rsid w:val="00190132"/>
    <w:rsid w:val="00195985"/>
    <w:rsid w:val="001A216C"/>
    <w:rsid w:val="001A7324"/>
    <w:rsid w:val="001B519C"/>
    <w:rsid w:val="001B7EB5"/>
    <w:rsid w:val="001C2A81"/>
    <w:rsid w:val="001C2DE9"/>
    <w:rsid w:val="001C532E"/>
    <w:rsid w:val="001D58F8"/>
    <w:rsid w:val="001D6406"/>
    <w:rsid w:val="00200246"/>
    <w:rsid w:val="00212F08"/>
    <w:rsid w:val="0021609B"/>
    <w:rsid w:val="002240E0"/>
    <w:rsid w:val="002273AB"/>
    <w:rsid w:val="002315A1"/>
    <w:rsid w:val="00232E6D"/>
    <w:rsid w:val="002357F3"/>
    <w:rsid w:val="00237780"/>
    <w:rsid w:val="00237C23"/>
    <w:rsid w:val="00242E74"/>
    <w:rsid w:val="00254A4F"/>
    <w:rsid w:val="00260906"/>
    <w:rsid w:val="00290410"/>
    <w:rsid w:val="00295685"/>
    <w:rsid w:val="002B39A9"/>
    <w:rsid w:val="002C22AE"/>
    <w:rsid w:val="002E5FA6"/>
    <w:rsid w:val="002F6A9C"/>
    <w:rsid w:val="003064B9"/>
    <w:rsid w:val="0031110C"/>
    <w:rsid w:val="003115B5"/>
    <w:rsid w:val="00313B8B"/>
    <w:rsid w:val="00323376"/>
    <w:rsid w:val="0032640D"/>
    <w:rsid w:val="00375233"/>
    <w:rsid w:val="00386027"/>
    <w:rsid w:val="00386825"/>
    <w:rsid w:val="003A24D2"/>
    <w:rsid w:val="003D4400"/>
    <w:rsid w:val="003D6B4E"/>
    <w:rsid w:val="003F598A"/>
    <w:rsid w:val="003F6E82"/>
    <w:rsid w:val="0041699F"/>
    <w:rsid w:val="00420C69"/>
    <w:rsid w:val="0043169D"/>
    <w:rsid w:val="00431767"/>
    <w:rsid w:val="00435E90"/>
    <w:rsid w:val="0046316A"/>
    <w:rsid w:val="004668D9"/>
    <w:rsid w:val="004679BF"/>
    <w:rsid w:val="00467ACE"/>
    <w:rsid w:val="00486030"/>
    <w:rsid w:val="00486DF2"/>
    <w:rsid w:val="004A192C"/>
    <w:rsid w:val="004A1C4D"/>
    <w:rsid w:val="004C55D3"/>
    <w:rsid w:val="004C7518"/>
    <w:rsid w:val="004D4C12"/>
    <w:rsid w:val="004E18A3"/>
    <w:rsid w:val="00505392"/>
    <w:rsid w:val="00514BFE"/>
    <w:rsid w:val="005172E7"/>
    <w:rsid w:val="00522D14"/>
    <w:rsid w:val="00526998"/>
    <w:rsid w:val="00527AD8"/>
    <w:rsid w:val="00532313"/>
    <w:rsid w:val="005377F0"/>
    <w:rsid w:val="0058558F"/>
    <w:rsid w:val="0058595F"/>
    <w:rsid w:val="0058650A"/>
    <w:rsid w:val="005A2B1D"/>
    <w:rsid w:val="005B2E44"/>
    <w:rsid w:val="005C7BBD"/>
    <w:rsid w:val="005D009B"/>
    <w:rsid w:val="005E241E"/>
    <w:rsid w:val="005F2180"/>
    <w:rsid w:val="005F2CD6"/>
    <w:rsid w:val="005F599B"/>
    <w:rsid w:val="005F6FE8"/>
    <w:rsid w:val="00600A47"/>
    <w:rsid w:val="00606F52"/>
    <w:rsid w:val="006178A7"/>
    <w:rsid w:val="0062302A"/>
    <w:rsid w:val="006238D9"/>
    <w:rsid w:val="006509E9"/>
    <w:rsid w:val="00651C1E"/>
    <w:rsid w:val="00676C23"/>
    <w:rsid w:val="00687F79"/>
    <w:rsid w:val="00693E47"/>
    <w:rsid w:val="00694D69"/>
    <w:rsid w:val="006A1D9B"/>
    <w:rsid w:val="006A3036"/>
    <w:rsid w:val="006B01B7"/>
    <w:rsid w:val="006B1DB8"/>
    <w:rsid w:val="006B2010"/>
    <w:rsid w:val="006B6831"/>
    <w:rsid w:val="006C3CF1"/>
    <w:rsid w:val="006C4176"/>
    <w:rsid w:val="006C41ED"/>
    <w:rsid w:val="006C5FC7"/>
    <w:rsid w:val="006C6FA6"/>
    <w:rsid w:val="006C75E9"/>
    <w:rsid w:val="006D004E"/>
    <w:rsid w:val="006D11B1"/>
    <w:rsid w:val="006D4109"/>
    <w:rsid w:val="006F6FA6"/>
    <w:rsid w:val="007024E2"/>
    <w:rsid w:val="00712A1C"/>
    <w:rsid w:val="007256A5"/>
    <w:rsid w:val="00734F82"/>
    <w:rsid w:val="007419B8"/>
    <w:rsid w:val="00741D80"/>
    <w:rsid w:val="0074297C"/>
    <w:rsid w:val="00746083"/>
    <w:rsid w:val="007512C8"/>
    <w:rsid w:val="00761893"/>
    <w:rsid w:val="00766E77"/>
    <w:rsid w:val="00772D06"/>
    <w:rsid w:val="007847FD"/>
    <w:rsid w:val="007909CF"/>
    <w:rsid w:val="007937F1"/>
    <w:rsid w:val="007A1356"/>
    <w:rsid w:val="007A1B3F"/>
    <w:rsid w:val="007A20CE"/>
    <w:rsid w:val="007C1586"/>
    <w:rsid w:val="007D31C2"/>
    <w:rsid w:val="007E2D9D"/>
    <w:rsid w:val="008156D8"/>
    <w:rsid w:val="00816D16"/>
    <w:rsid w:val="00817601"/>
    <w:rsid w:val="00820ECE"/>
    <w:rsid w:val="008227AA"/>
    <w:rsid w:val="00840475"/>
    <w:rsid w:val="00842AB4"/>
    <w:rsid w:val="008436D6"/>
    <w:rsid w:val="00845C3A"/>
    <w:rsid w:val="0084626C"/>
    <w:rsid w:val="00871ED8"/>
    <w:rsid w:val="00884B91"/>
    <w:rsid w:val="00885F1C"/>
    <w:rsid w:val="008B4F84"/>
    <w:rsid w:val="008C0681"/>
    <w:rsid w:val="008C0F0E"/>
    <w:rsid w:val="008C6320"/>
    <w:rsid w:val="008D3E4F"/>
    <w:rsid w:val="008D4500"/>
    <w:rsid w:val="008E214E"/>
    <w:rsid w:val="008F344F"/>
    <w:rsid w:val="009019FC"/>
    <w:rsid w:val="009048F7"/>
    <w:rsid w:val="00906C32"/>
    <w:rsid w:val="00914B41"/>
    <w:rsid w:val="00920A5E"/>
    <w:rsid w:val="009379DD"/>
    <w:rsid w:val="00942064"/>
    <w:rsid w:val="00943B82"/>
    <w:rsid w:val="00952074"/>
    <w:rsid w:val="00960C05"/>
    <w:rsid w:val="009611C1"/>
    <w:rsid w:val="009612D5"/>
    <w:rsid w:val="009624AA"/>
    <w:rsid w:val="009633B6"/>
    <w:rsid w:val="00966CA9"/>
    <w:rsid w:val="00973DD0"/>
    <w:rsid w:val="00977880"/>
    <w:rsid w:val="00981795"/>
    <w:rsid w:val="009959A9"/>
    <w:rsid w:val="009B30A6"/>
    <w:rsid w:val="009B4067"/>
    <w:rsid w:val="009C2040"/>
    <w:rsid w:val="009D37A2"/>
    <w:rsid w:val="009E4711"/>
    <w:rsid w:val="009E5549"/>
    <w:rsid w:val="009E60E8"/>
    <w:rsid w:val="009F28F5"/>
    <w:rsid w:val="009F5615"/>
    <w:rsid w:val="00A0671F"/>
    <w:rsid w:val="00A108DE"/>
    <w:rsid w:val="00A17FEE"/>
    <w:rsid w:val="00A21ECD"/>
    <w:rsid w:val="00A23F5C"/>
    <w:rsid w:val="00A57A4B"/>
    <w:rsid w:val="00A76E91"/>
    <w:rsid w:val="00A806A3"/>
    <w:rsid w:val="00A8436E"/>
    <w:rsid w:val="00AA2207"/>
    <w:rsid w:val="00AA32DA"/>
    <w:rsid w:val="00AA796F"/>
    <w:rsid w:val="00AB54E3"/>
    <w:rsid w:val="00AC3373"/>
    <w:rsid w:val="00AD2924"/>
    <w:rsid w:val="00AE5043"/>
    <w:rsid w:val="00AF019D"/>
    <w:rsid w:val="00B13D77"/>
    <w:rsid w:val="00B33599"/>
    <w:rsid w:val="00B349DA"/>
    <w:rsid w:val="00B43835"/>
    <w:rsid w:val="00B536D0"/>
    <w:rsid w:val="00B636F0"/>
    <w:rsid w:val="00B825B1"/>
    <w:rsid w:val="00B92152"/>
    <w:rsid w:val="00BA4D98"/>
    <w:rsid w:val="00BB2C8F"/>
    <w:rsid w:val="00BD297B"/>
    <w:rsid w:val="00BE7194"/>
    <w:rsid w:val="00BF70F4"/>
    <w:rsid w:val="00BF7250"/>
    <w:rsid w:val="00C24CA5"/>
    <w:rsid w:val="00C26F40"/>
    <w:rsid w:val="00C40D0F"/>
    <w:rsid w:val="00C47BD3"/>
    <w:rsid w:val="00C767C9"/>
    <w:rsid w:val="00C859CA"/>
    <w:rsid w:val="00C9372C"/>
    <w:rsid w:val="00C95CA9"/>
    <w:rsid w:val="00CA14B6"/>
    <w:rsid w:val="00CB045A"/>
    <w:rsid w:val="00CC6CFB"/>
    <w:rsid w:val="00CC7BE2"/>
    <w:rsid w:val="00CD0A69"/>
    <w:rsid w:val="00CD53F9"/>
    <w:rsid w:val="00CE5ACD"/>
    <w:rsid w:val="00CF79AE"/>
    <w:rsid w:val="00D01BB4"/>
    <w:rsid w:val="00D04FD7"/>
    <w:rsid w:val="00D074B7"/>
    <w:rsid w:val="00D17862"/>
    <w:rsid w:val="00D202D7"/>
    <w:rsid w:val="00D40F38"/>
    <w:rsid w:val="00D411AD"/>
    <w:rsid w:val="00D42FA0"/>
    <w:rsid w:val="00D45350"/>
    <w:rsid w:val="00D45427"/>
    <w:rsid w:val="00D6446A"/>
    <w:rsid w:val="00D65753"/>
    <w:rsid w:val="00D65918"/>
    <w:rsid w:val="00D66086"/>
    <w:rsid w:val="00D66350"/>
    <w:rsid w:val="00D67440"/>
    <w:rsid w:val="00D746E6"/>
    <w:rsid w:val="00D75149"/>
    <w:rsid w:val="00D95D9F"/>
    <w:rsid w:val="00D95E42"/>
    <w:rsid w:val="00DB43BD"/>
    <w:rsid w:val="00DC08F5"/>
    <w:rsid w:val="00DD0DD1"/>
    <w:rsid w:val="00DD6425"/>
    <w:rsid w:val="00DE1CBA"/>
    <w:rsid w:val="00DE2948"/>
    <w:rsid w:val="00DE535C"/>
    <w:rsid w:val="00DE629F"/>
    <w:rsid w:val="00DE7E6C"/>
    <w:rsid w:val="00DF7F22"/>
    <w:rsid w:val="00E15516"/>
    <w:rsid w:val="00E2551A"/>
    <w:rsid w:val="00E43151"/>
    <w:rsid w:val="00E51F17"/>
    <w:rsid w:val="00E52270"/>
    <w:rsid w:val="00E66672"/>
    <w:rsid w:val="00E910F5"/>
    <w:rsid w:val="00E92047"/>
    <w:rsid w:val="00E92A73"/>
    <w:rsid w:val="00EA46E5"/>
    <w:rsid w:val="00EA64FF"/>
    <w:rsid w:val="00EA7A17"/>
    <w:rsid w:val="00EB5DE4"/>
    <w:rsid w:val="00EC269B"/>
    <w:rsid w:val="00EE0059"/>
    <w:rsid w:val="00EF4654"/>
    <w:rsid w:val="00F013A8"/>
    <w:rsid w:val="00F075C9"/>
    <w:rsid w:val="00F1359E"/>
    <w:rsid w:val="00F17E43"/>
    <w:rsid w:val="00F204D9"/>
    <w:rsid w:val="00F25713"/>
    <w:rsid w:val="00F37979"/>
    <w:rsid w:val="00F477B0"/>
    <w:rsid w:val="00F50A13"/>
    <w:rsid w:val="00F6281F"/>
    <w:rsid w:val="00F648B1"/>
    <w:rsid w:val="00F74956"/>
    <w:rsid w:val="00F90DFE"/>
    <w:rsid w:val="00FA6112"/>
    <w:rsid w:val="00FB31C2"/>
    <w:rsid w:val="00FC373D"/>
    <w:rsid w:val="00FD26E0"/>
    <w:rsid w:val="00FD7C0D"/>
    <w:rsid w:val="00FE21A1"/>
    <w:rsid w:val="021B0DA6"/>
    <w:rsid w:val="03B7397E"/>
    <w:rsid w:val="044F5096"/>
    <w:rsid w:val="05B8A3F8"/>
    <w:rsid w:val="061FA344"/>
    <w:rsid w:val="06955984"/>
    <w:rsid w:val="084F67EB"/>
    <w:rsid w:val="09D7823F"/>
    <w:rsid w:val="0DD8D1A5"/>
    <w:rsid w:val="12B7B450"/>
    <w:rsid w:val="14804A11"/>
    <w:rsid w:val="14EBF57D"/>
    <w:rsid w:val="16CDDB75"/>
    <w:rsid w:val="18797766"/>
    <w:rsid w:val="1FD0EEE6"/>
    <w:rsid w:val="20532BA8"/>
    <w:rsid w:val="25945FA9"/>
    <w:rsid w:val="289C5153"/>
    <w:rsid w:val="2CD214CB"/>
    <w:rsid w:val="2D91110A"/>
    <w:rsid w:val="2F1CAF80"/>
    <w:rsid w:val="338B6DBA"/>
    <w:rsid w:val="34145F15"/>
    <w:rsid w:val="345F6AD6"/>
    <w:rsid w:val="3693E549"/>
    <w:rsid w:val="38451D2A"/>
    <w:rsid w:val="399C2AAE"/>
    <w:rsid w:val="3C327564"/>
    <w:rsid w:val="3C67C692"/>
    <w:rsid w:val="3CEBDB21"/>
    <w:rsid w:val="3DAD9974"/>
    <w:rsid w:val="44DE6DBC"/>
    <w:rsid w:val="451FCFAD"/>
    <w:rsid w:val="45CB1B20"/>
    <w:rsid w:val="478D0C50"/>
    <w:rsid w:val="4875F7DB"/>
    <w:rsid w:val="49D02E5C"/>
    <w:rsid w:val="4AD61D4D"/>
    <w:rsid w:val="4D3766AC"/>
    <w:rsid w:val="4D9E1DF5"/>
    <w:rsid w:val="4E1D294B"/>
    <w:rsid w:val="4E8A3CCA"/>
    <w:rsid w:val="5323B790"/>
    <w:rsid w:val="53A105E4"/>
    <w:rsid w:val="5517527F"/>
    <w:rsid w:val="576E1A4F"/>
    <w:rsid w:val="580C9F0A"/>
    <w:rsid w:val="59E41027"/>
    <w:rsid w:val="5AE59624"/>
    <w:rsid w:val="5DE9B26F"/>
    <w:rsid w:val="5E850121"/>
    <w:rsid w:val="5FDAE126"/>
    <w:rsid w:val="611D21A8"/>
    <w:rsid w:val="617D7753"/>
    <w:rsid w:val="64C85234"/>
    <w:rsid w:val="658F8DFE"/>
    <w:rsid w:val="67F72F1B"/>
    <w:rsid w:val="680FB076"/>
    <w:rsid w:val="69EE0A48"/>
    <w:rsid w:val="6A5AC0B8"/>
    <w:rsid w:val="6B8DBDCB"/>
    <w:rsid w:val="6BB3EE1B"/>
    <w:rsid w:val="6C6BF2D5"/>
    <w:rsid w:val="6C9F5381"/>
    <w:rsid w:val="6D280FB4"/>
    <w:rsid w:val="70F5089C"/>
    <w:rsid w:val="7141C85E"/>
    <w:rsid w:val="72D50A68"/>
    <w:rsid w:val="731BA54A"/>
    <w:rsid w:val="7554D31A"/>
    <w:rsid w:val="765320F8"/>
    <w:rsid w:val="78381574"/>
    <w:rsid w:val="78FACE83"/>
    <w:rsid w:val="7C208B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5A1B3"/>
  <w15:chartTrackingRefBased/>
  <w15:docId w15:val="{66966AE1-2582-4338-82DD-2B099C01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B77"/>
    <w:pPr>
      <w:spacing w:after="200" w:line="240" w:lineRule="auto"/>
    </w:pPr>
    <w:rPr>
      <w:rFonts w:ascii="Arial" w:hAnsi="Arial"/>
      <w:kern w:val="0"/>
      <w:sz w:val="20"/>
      <w:szCs w:val="22"/>
      <w:lang w:val="en-GB"/>
      <w14:ligatures w14:val="none"/>
    </w:rPr>
  </w:style>
  <w:style w:type="paragraph" w:styleId="Heading1">
    <w:name w:val="heading 1"/>
    <w:basedOn w:val="Normal"/>
    <w:next w:val="Normal"/>
    <w:link w:val="Heading1Char"/>
    <w:uiPriority w:val="9"/>
    <w:qFormat/>
    <w:rsid w:val="000F6B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6B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B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B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B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B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B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B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B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B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6B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B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B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B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B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B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B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B77"/>
    <w:rPr>
      <w:rFonts w:eastAsiaTheme="majorEastAsia" w:cstheme="majorBidi"/>
      <w:color w:val="272727" w:themeColor="text1" w:themeTint="D8"/>
    </w:rPr>
  </w:style>
  <w:style w:type="paragraph" w:styleId="Title">
    <w:name w:val="Title"/>
    <w:basedOn w:val="Normal"/>
    <w:next w:val="Normal"/>
    <w:link w:val="TitleChar"/>
    <w:uiPriority w:val="10"/>
    <w:qFormat/>
    <w:rsid w:val="000F6B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B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B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B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B77"/>
    <w:pPr>
      <w:spacing w:before="160"/>
      <w:jc w:val="center"/>
    </w:pPr>
    <w:rPr>
      <w:i/>
      <w:iCs/>
      <w:color w:val="404040" w:themeColor="text1" w:themeTint="BF"/>
    </w:rPr>
  </w:style>
  <w:style w:type="character" w:customStyle="1" w:styleId="QuoteChar">
    <w:name w:val="Quote Char"/>
    <w:basedOn w:val="DefaultParagraphFont"/>
    <w:link w:val="Quote"/>
    <w:uiPriority w:val="29"/>
    <w:rsid w:val="000F6B77"/>
    <w:rPr>
      <w:i/>
      <w:iCs/>
      <w:color w:val="404040" w:themeColor="text1" w:themeTint="BF"/>
    </w:rPr>
  </w:style>
  <w:style w:type="paragraph" w:styleId="ListParagraph">
    <w:name w:val="List Paragraph"/>
    <w:basedOn w:val="Normal"/>
    <w:uiPriority w:val="34"/>
    <w:qFormat/>
    <w:rsid w:val="000F6B77"/>
    <w:pPr>
      <w:ind w:left="720"/>
      <w:contextualSpacing/>
    </w:pPr>
  </w:style>
  <w:style w:type="character" w:styleId="IntenseEmphasis">
    <w:name w:val="Intense Emphasis"/>
    <w:basedOn w:val="DefaultParagraphFont"/>
    <w:uiPriority w:val="21"/>
    <w:qFormat/>
    <w:rsid w:val="000F6B77"/>
    <w:rPr>
      <w:i/>
      <w:iCs/>
      <w:color w:val="0F4761" w:themeColor="accent1" w:themeShade="BF"/>
    </w:rPr>
  </w:style>
  <w:style w:type="paragraph" w:styleId="IntenseQuote">
    <w:name w:val="Intense Quote"/>
    <w:basedOn w:val="Normal"/>
    <w:next w:val="Normal"/>
    <w:link w:val="IntenseQuoteChar"/>
    <w:uiPriority w:val="30"/>
    <w:qFormat/>
    <w:rsid w:val="000F6B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B77"/>
    <w:rPr>
      <w:i/>
      <w:iCs/>
      <w:color w:val="0F4761" w:themeColor="accent1" w:themeShade="BF"/>
    </w:rPr>
  </w:style>
  <w:style w:type="character" w:styleId="IntenseReference">
    <w:name w:val="Intense Reference"/>
    <w:basedOn w:val="DefaultParagraphFont"/>
    <w:uiPriority w:val="32"/>
    <w:qFormat/>
    <w:rsid w:val="000F6B77"/>
    <w:rPr>
      <w:b/>
      <w:bCs/>
      <w:smallCaps/>
      <w:color w:val="0F4761" w:themeColor="accent1" w:themeShade="BF"/>
      <w:spacing w:val="5"/>
    </w:rPr>
  </w:style>
  <w:style w:type="table" w:styleId="LightList-Accent1">
    <w:name w:val="Light List Accent 1"/>
    <w:basedOn w:val="TableNormal"/>
    <w:uiPriority w:val="61"/>
    <w:rsid w:val="000F6B77"/>
    <w:pPr>
      <w:spacing w:after="0" w:line="240" w:lineRule="auto"/>
    </w:pPr>
    <w:rPr>
      <w:rFonts w:ascii="Arial" w:hAnsi="Arial"/>
      <w:kern w:val="0"/>
      <w:sz w:val="20"/>
      <w:szCs w:val="22"/>
      <w:lang w:val="en-AU"/>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TableParagraph">
    <w:name w:val="Table Paragraph"/>
    <w:basedOn w:val="Normal"/>
    <w:uiPriority w:val="1"/>
    <w:qFormat/>
    <w:rsid w:val="00EC269B"/>
    <w:pPr>
      <w:widowControl w:val="0"/>
      <w:autoSpaceDE w:val="0"/>
      <w:autoSpaceDN w:val="0"/>
      <w:spacing w:after="0"/>
    </w:pPr>
    <w:rPr>
      <w:rFonts w:eastAsia="Arial" w:cs="Arial"/>
      <w:sz w:val="22"/>
      <w:lang w:val="en-US"/>
    </w:rPr>
  </w:style>
  <w:style w:type="paragraph" w:customStyle="1" w:styleId="Default">
    <w:name w:val="Default"/>
    <w:rsid w:val="00B33599"/>
    <w:pPr>
      <w:autoSpaceDE w:val="0"/>
      <w:autoSpaceDN w:val="0"/>
      <w:adjustRightInd w:val="0"/>
      <w:spacing w:after="0" w:line="240" w:lineRule="auto"/>
    </w:pPr>
    <w:rPr>
      <w:rFonts w:ascii="Arial" w:hAnsi="Arial" w:cs="Arial"/>
      <w:color w:val="000000"/>
      <w:kern w:val="0"/>
    </w:rPr>
  </w:style>
  <w:style w:type="character" w:styleId="Hyperlink">
    <w:name w:val="Hyperlink"/>
    <w:basedOn w:val="DefaultParagraphFont"/>
    <w:uiPriority w:val="99"/>
    <w:semiHidden/>
    <w:unhideWhenUsed/>
    <w:rsid w:val="00E15516"/>
    <w:rPr>
      <w:color w:val="467886"/>
      <w:u w:val="single"/>
    </w:rPr>
  </w:style>
  <w:style w:type="character" w:styleId="FollowedHyperlink">
    <w:name w:val="FollowedHyperlink"/>
    <w:basedOn w:val="DefaultParagraphFont"/>
    <w:uiPriority w:val="99"/>
    <w:semiHidden/>
    <w:unhideWhenUsed/>
    <w:rsid w:val="00E15516"/>
    <w:rPr>
      <w:color w:val="96607D"/>
      <w:u w:val="single"/>
    </w:rPr>
  </w:style>
  <w:style w:type="paragraph" w:customStyle="1" w:styleId="msonormal0">
    <w:name w:val="msonormal"/>
    <w:basedOn w:val="Normal"/>
    <w:rsid w:val="00E15516"/>
    <w:pPr>
      <w:spacing w:before="100" w:beforeAutospacing="1" w:after="100" w:afterAutospacing="1"/>
    </w:pPr>
    <w:rPr>
      <w:rFonts w:ascii="Times New Roman" w:eastAsia="Times New Roman" w:hAnsi="Times New Roman" w:cs="Times New Roman"/>
      <w:sz w:val="24"/>
      <w:szCs w:val="24"/>
      <w:lang w:val="en-US"/>
    </w:rPr>
  </w:style>
  <w:style w:type="paragraph" w:customStyle="1" w:styleId="xl65">
    <w:name w:val="xl65"/>
    <w:basedOn w:val="Normal"/>
    <w:rsid w:val="00E1551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customStyle="1" w:styleId="xl67">
    <w:name w:val="xl67"/>
    <w:basedOn w:val="Normal"/>
    <w:rsid w:val="00E1551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styleId="NoSpacing">
    <w:name w:val="No Spacing"/>
    <w:uiPriority w:val="1"/>
    <w:qFormat/>
    <w:rsid w:val="006F6FA6"/>
    <w:pPr>
      <w:spacing w:after="0" w:line="240" w:lineRule="auto"/>
    </w:pPr>
    <w:rPr>
      <w:rFonts w:ascii="Arial" w:hAnsi="Arial"/>
      <w:kern w:val="0"/>
      <w:sz w:val="20"/>
      <w:szCs w:val="22"/>
      <w:lang w:val="en-AU"/>
      <w14:ligatures w14:val="none"/>
    </w:rPr>
  </w:style>
  <w:style w:type="paragraph" w:styleId="Caption">
    <w:name w:val="caption"/>
    <w:basedOn w:val="Normal"/>
    <w:next w:val="Normal"/>
    <w:uiPriority w:val="35"/>
    <w:unhideWhenUsed/>
    <w:qFormat/>
    <w:rsid w:val="0058650A"/>
    <w:rPr>
      <w:i/>
      <w:iCs/>
      <w:color w:val="0E2841" w:themeColor="text2"/>
      <w:sz w:val="18"/>
      <w:szCs w:val="18"/>
    </w:rPr>
  </w:style>
  <w:style w:type="paragraph" w:styleId="CommentText">
    <w:name w:val="annotation text"/>
    <w:basedOn w:val="Normal"/>
    <w:link w:val="CommentTextChar"/>
    <w:uiPriority w:val="99"/>
    <w:unhideWhenUsed/>
    <w:rsid w:val="00906C32"/>
    <w:rPr>
      <w:szCs w:val="20"/>
    </w:rPr>
  </w:style>
  <w:style w:type="character" w:customStyle="1" w:styleId="CommentTextChar">
    <w:name w:val="Comment Text Char"/>
    <w:basedOn w:val="DefaultParagraphFont"/>
    <w:link w:val="CommentText"/>
    <w:uiPriority w:val="99"/>
    <w:rsid w:val="00906C32"/>
    <w:rPr>
      <w:rFonts w:ascii="Arial" w:hAnsi="Arial"/>
      <w:kern w:val="0"/>
      <w:sz w:val="20"/>
      <w:szCs w:val="20"/>
      <w:lang w:val="en-AU"/>
      <w14:ligatures w14:val="none"/>
    </w:rPr>
  </w:style>
  <w:style w:type="character" w:styleId="CommentReference">
    <w:name w:val="annotation reference"/>
    <w:basedOn w:val="DefaultParagraphFont"/>
    <w:uiPriority w:val="99"/>
    <w:semiHidden/>
    <w:unhideWhenUsed/>
    <w:rsid w:val="00906C32"/>
    <w:rPr>
      <w:sz w:val="16"/>
      <w:szCs w:val="16"/>
    </w:rPr>
  </w:style>
  <w:style w:type="paragraph" w:styleId="CommentSubject">
    <w:name w:val="annotation subject"/>
    <w:basedOn w:val="CommentText"/>
    <w:next w:val="CommentText"/>
    <w:link w:val="CommentSubjectChar"/>
    <w:uiPriority w:val="99"/>
    <w:semiHidden/>
    <w:unhideWhenUsed/>
    <w:rsid w:val="00EA7A17"/>
    <w:rPr>
      <w:b/>
      <w:bCs/>
    </w:rPr>
  </w:style>
  <w:style w:type="character" w:customStyle="1" w:styleId="CommentSubjectChar">
    <w:name w:val="Comment Subject Char"/>
    <w:basedOn w:val="CommentTextChar"/>
    <w:link w:val="CommentSubject"/>
    <w:uiPriority w:val="99"/>
    <w:semiHidden/>
    <w:rsid w:val="00EA7A17"/>
    <w:rPr>
      <w:rFonts w:ascii="Arial" w:hAnsi="Arial"/>
      <w:b/>
      <w:bCs/>
      <w:kern w:val="0"/>
      <w:sz w:val="20"/>
      <w:szCs w:val="20"/>
      <w:lang w:val="en-AU"/>
      <w14:ligatures w14:val="none"/>
    </w:rPr>
  </w:style>
  <w:style w:type="paragraph" w:styleId="Revision">
    <w:name w:val="Revision"/>
    <w:hidden/>
    <w:uiPriority w:val="99"/>
    <w:semiHidden/>
    <w:rsid w:val="00C95CA9"/>
    <w:pPr>
      <w:spacing w:after="0" w:line="240" w:lineRule="auto"/>
    </w:pPr>
    <w:rPr>
      <w:rFonts w:ascii="Arial" w:hAnsi="Arial"/>
      <w:kern w:val="0"/>
      <w:sz w:val="20"/>
      <w:szCs w:val="22"/>
      <w:lang w:val="en-AU"/>
      <w14:ligatures w14:val="none"/>
    </w:rPr>
  </w:style>
  <w:style w:type="paragraph" w:styleId="Header">
    <w:name w:val="header"/>
    <w:basedOn w:val="Normal"/>
    <w:link w:val="HeaderChar"/>
    <w:uiPriority w:val="99"/>
    <w:unhideWhenUsed/>
    <w:rsid w:val="00651C1E"/>
    <w:pPr>
      <w:tabs>
        <w:tab w:val="center" w:pos="4513"/>
        <w:tab w:val="right" w:pos="9026"/>
      </w:tabs>
      <w:spacing w:after="0"/>
    </w:pPr>
  </w:style>
  <w:style w:type="character" w:customStyle="1" w:styleId="HeaderChar">
    <w:name w:val="Header Char"/>
    <w:basedOn w:val="DefaultParagraphFont"/>
    <w:link w:val="Header"/>
    <w:uiPriority w:val="99"/>
    <w:rsid w:val="00651C1E"/>
    <w:rPr>
      <w:rFonts w:ascii="Arial" w:hAnsi="Arial"/>
      <w:kern w:val="0"/>
      <w:sz w:val="20"/>
      <w:szCs w:val="22"/>
      <w:lang w:val="en-GB"/>
      <w14:ligatures w14:val="none"/>
    </w:rPr>
  </w:style>
  <w:style w:type="paragraph" w:styleId="Footer">
    <w:name w:val="footer"/>
    <w:basedOn w:val="Normal"/>
    <w:link w:val="FooterChar"/>
    <w:uiPriority w:val="99"/>
    <w:unhideWhenUsed/>
    <w:rsid w:val="00651C1E"/>
    <w:pPr>
      <w:tabs>
        <w:tab w:val="center" w:pos="4513"/>
        <w:tab w:val="right" w:pos="9026"/>
      </w:tabs>
      <w:spacing w:after="0"/>
    </w:pPr>
  </w:style>
  <w:style w:type="character" w:customStyle="1" w:styleId="FooterChar">
    <w:name w:val="Footer Char"/>
    <w:basedOn w:val="DefaultParagraphFont"/>
    <w:link w:val="Footer"/>
    <w:uiPriority w:val="99"/>
    <w:rsid w:val="00651C1E"/>
    <w:rPr>
      <w:rFonts w:ascii="Arial" w:hAnsi="Arial"/>
      <w:kern w:val="0"/>
      <w:sz w:val="20"/>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4848">
      <w:bodyDiv w:val="1"/>
      <w:marLeft w:val="0"/>
      <w:marRight w:val="0"/>
      <w:marTop w:val="0"/>
      <w:marBottom w:val="0"/>
      <w:divBdr>
        <w:top w:val="none" w:sz="0" w:space="0" w:color="auto"/>
        <w:left w:val="none" w:sz="0" w:space="0" w:color="auto"/>
        <w:bottom w:val="none" w:sz="0" w:space="0" w:color="auto"/>
        <w:right w:val="none" w:sz="0" w:space="0" w:color="auto"/>
      </w:divBdr>
    </w:div>
    <w:div w:id="53049119">
      <w:bodyDiv w:val="1"/>
      <w:marLeft w:val="0"/>
      <w:marRight w:val="0"/>
      <w:marTop w:val="0"/>
      <w:marBottom w:val="0"/>
      <w:divBdr>
        <w:top w:val="none" w:sz="0" w:space="0" w:color="auto"/>
        <w:left w:val="none" w:sz="0" w:space="0" w:color="auto"/>
        <w:bottom w:val="none" w:sz="0" w:space="0" w:color="auto"/>
        <w:right w:val="none" w:sz="0" w:space="0" w:color="auto"/>
      </w:divBdr>
    </w:div>
    <w:div w:id="83886181">
      <w:bodyDiv w:val="1"/>
      <w:marLeft w:val="0"/>
      <w:marRight w:val="0"/>
      <w:marTop w:val="0"/>
      <w:marBottom w:val="0"/>
      <w:divBdr>
        <w:top w:val="none" w:sz="0" w:space="0" w:color="auto"/>
        <w:left w:val="none" w:sz="0" w:space="0" w:color="auto"/>
        <w:bottom w:val="none" w:sz="0" w:space="0" w:color="auto"/>
        <w:right w:val="none" w:sz="0" w:space="0" w:color="auto"/>
      </w:divBdr>
    </w:div>
    <w:div w:id="116875055">
      <w:bodyDiv w:val="1"/>
      <w:marLeft w:val="0"/>
      <w:marRight w:val="0"/>
      <w:marTop w:val="0"/>
      <w:marBottom w:val="0"/>
      <w:divBdr>
        <w:top w:val="none" w:sz="0" w:space="0" w:color="auto"/>
        <w:left w:val="none" w:sz="0" w:space="0" w:color="auto"/>
        <w:bottom w:val="none" w:sz="0" w:space="0" w:color="auto"/>
        <w:right w:val="none" w:sz="0" w:space="0" w:color="auto"/>
      </w:divBdr>
      <w:divsChild>
        <w:div w:id="1613782339">
          <w:marLeft w:val="446"/>
          <w:marRight w:val="0"/>
          <w:marTop w:val="0"/>
          <w:marBottom w:val="0"/>
          <w:divBdr>
            <w:top w:val="none" w:sz="0" w:space="0" w:color="auto"/>
            <w:left w:val="none" w:sz="0" w:space="0" w:color="auto"/>
            <w:bottom w:val="none" w:sz="0" w:space="0" w:color="auto"/>
            <w:right w:val="none" w:sz="0" w:space="0" w:color="auto"/>
          </w:divBdr>
        </w:div>
      </w:divsChild>
    </w:div>
    <w:div w:id="123696458">
      <w:bodyDiv w:val="1"/>
      <w:marLeft w:val="0"/>
      <w:marRight w:val="0"/>
      <w:marTop w:val="0"/>
      <w:marBottom w:val="0"/>
      <w:divBdr>
        <w:top w:val="none" w:sz="0" w:space="0" w:color="auto"/>
        <w:left w:val="none" w:sz="0" w:space="0" w:color="auto"/>
        <w:bottom w:val="none" w:sz="0" w:space="0" w:color="auto"/>
        <w:right w:val="none" w:sz="0" w:space="0" w:color="auto"/>
      </w:divBdr>
    </w:div>
    <w:div w:id="161360314">
      <w:bodyDiv w:val="1"/>
      <w:marLeft w:val="0"/>
      <w:marRight w:val="0"/>
      <w:marTop w:val="0"/>
      <w:marBottom w:val="0"/>
      <w:divBdr>
        <w:top w:val="none" w:sz="0" w:space="0" w:color="auto"/>
        <w:left w:val="none" w:sz="0" w:space="0" w:color="auto"/>
        <w:bottom w:val="none" w:sz="0" w:space="0" w:color="auto"/>
        <w:right w:val="none" w:sz="0" w:space="0" w:color="auto"/>
      </w:divBdr>
    </w:div>
    <w:div w:id="208885571">
      <w:bodyDiv w:val="1"/>
      <w:marLeft w:val="0"/>
      <w:marRight w:val="0"/>
      <w:marTop w:val="0"/>
      <w:marBottom w:val="0"/>
      <w:divBdr>
        <w:top w:val="none" w:sz="0" w:space="0" w:color="auto"/>
        <w:left w:val="none" w:sz="0" w:space="0" w:color="auto"/>
        <w:bottom w:val="none" w:sz="0" w:space="0" w:color="auto"/>
        <w:right w:val="none" w:sz="0" w:space="0" w:color="auto"/>
      </w:divBdr>
    </w:div>
    <w:div w:id="236130659">
      <w:bodyDiv w:val="1"/>
      <w:marLeft w:val="0"/>
      <w:marRight w:val="0"/>
      <w:marTop w:val="0"/>
      <w:marBottom w:val="0"/>
      <w:divBdr>
        <w:top w:val="none" w:sz="0" w:space="0" w:color="auto"/>
        <w:left w:val="none" w:sz="0" w:space="0" w:color="auto"/>
        <w:bottom w:val="none" w:sz="0" w:space="0" w:color="auto"/>
        <w:right w:val="none" w:sz="0" w:space="0" w:color="auto"/>
      </w:divBdr>
    </w:div>
    <w:div w:id="337318030">
      <w:bodyDiv w:val="1"/>
      <w:marLeft w:val="0"/>
      <w:marRight w:val="0"/>
      <w:marTop w:val="0"/>
      <w:marBottom w:val="0"/>
      <w:divBdr>
        <w:top w:val="none" w:sz="0" w:space="0" w:color="auto"/>
        <w:left w:val="none" w:sz="0" w:space="0" w:color="auto"/>
        <w:bottom w:val="none" w:sz="0" w:space="0" w:color="auto"/>
        <w:right w:val="none" w:sz="0" w:space="0" w:color="auto"/>
      </w:divBdr>
    </w:div>
    <w:div w:id="406345602">
      <w:bodyDiv w:val="1"/>
      <w:marLeft w:val="0"/>
      <w:marRight w:val="0"/>
      <w:marTop w:val="0"/>
      <w:marBottom w:val="0"/>
      <w:divBdr>
        <w:top w:val="none" w:sz="0" w:space="0" w:color="auto"/>
        <w:left w:val="none" w:sz="0" w:space="0" w:color="auto"/>
        <w:bottom w:val="none" w:sz="0" w:space="0" w:color="auto"/>
        <w:right w:val="none" w:sz="0" w:space="0" w:color="auto"/>
      </w:divBdr>
      <w:divsChild>
        <w:div w:id="577788538">
          <w:marLeft w:val="0"/>
          <w:marRight w:val="0"/>
          <w:marTop w:val="0"/>
          <w:marBottom w:val="0"/>
          <w:divBdr>
            <w:top w:val="none" w:sz="0" w:space="0" w:color="auto"/>
            <w:left w:val="none" w:sz="0" w:space="0" w:color="auto"/>
            <w:bottom w:val="none" w:sz="0" w:space="0" w:color="auto"/>
            <w:right w:val="none" w:sz="0" w:space="0" w:color="auto"/>
          </w:divBdr>
        </w:div>
      </w:divsChild>
    </w:div>
    <w:div w:id="417755987">
      <w:bodyDiv w:val="1"/>
      <w:marLeft w:val="0"/>
      <w:marRight w:val="0"/>
      <w:marTop w:val="0"/>
      <w:marBottom w:val="0"/>
      <w:divBdr>
        <w:top w:val="none" w:sz="0" w:space="0" w:color="auto"/>
        <w:left w:val="none" w:sz="0" w:space="0" w:color="auto"/>
        <w:bottom w:val="none" w:sz="0" w:space="0" w:color="auto"/>
        <w:right w:val="none" w:sz="0" w:space="0" w:color="auto"/>
      </w:divBdr>
      <w:divsChild>
        <w:div w:id="1672878666">
          <w:marLeft w:val="0"/>
          <w:marRight w:val="0"/>
          <w:marTop w:val="0"/>
          <w:marBottom w:val="0"/>
          <w:divBdr>
            <w:top w:val="none" w:sz="0" w:space="0" w:color="auto"/>
            <w:left w:val="none" w:sz="0" w:space="0" w:color="auto"/>
            <w:bottom w:val="none" w:sz="0" w:space="0" w:color="auto"/>
            <w:right w:val="none" w:sz="0" w:space="0" w:color="auto"/>
          </w:divBdr>
        </w:div>
      </w:divsChild>
    </w:div>
    <w:div w:id="471287693">
      <w:bodyDiv w:val="1"/>
      <w:marLeft w:val="0"/>
      <w:marRight w:val="0"/>
      <w:marTop w:val="0"/>
      <w:marBottom w:val="0"/>
      <w:divBdr>
        <w:top w:val="none" w:sz="0" w:space="0" w:color="auto"/>
        <w:left w:val="none" w:sz="0" w:space="0" w:color="auto"/>
        <w:bottom w:val="none" w:sz="0" w:space="0" w:color="auto"/>
        <w:right w:val="none" w:sz="0" w:space="0" w:color="auto"/>
      </w:divBdr>
    </w:div>
    <w:div w:id="514152264">
      <w:bodyDiv w:val="1"/>
      <w:marLeft w:val="0"/>
      <w:marRight w:val="0"/>
      <w:marTop w:val="0"/>
      <w:marBottom w:val="0"/>
      <w:divBdr>
        <w:top w:val="none" w:sz="0" w:space="0" w:color="auto"/>
        <w:left w:val="none" w:sz="0" w:space="0" w:color="auto"/>
        <w:bottom w:val="none" w:sz="0" w:space="0" w:color="auto"/>
        <w:right w:val="none" w:sz="0" w:space="0" w:color="auto"/>
      </w:divBdr>
    </w:div>
    <w:div w:id="566263418">
      <w:bodyDiv w:val="1"/>
      <w:marLeft w:val="0"/>
      <w:marRight w:val="0"/>
      <w:marTop w:val="0"/>
      <w:marBottom w:val="0"/>
      <w:divBdr>
        <w:top w:val="none" w:sz="0" w:space="0" w:color="auto"/>
        <w:left w:val="none" w:sz="0" w:space="0" w:color="auto"/>
        <w:bottom w:val="none" w:sz="0" w:space="0" w:color="auto"/>
        <w:right w:val="none" w:sz="0" w:space="0" w:color="auto"/>
      </w:divBdr>
      <w:divsChild>
        <w:div w:id="1490948298">
          <w:marLeft w:val="0"/>
          <w:marRight w:val="0"/>
          <w:marTop w:val="0"/>
          <w:marBottom w:val="0"/>
          <w:divBdr>
            <w:top w:val="none" w:sz="0" w:space="0" w:color="auto"/>
            <w:left w:val="none" w:sz="0" w:space="0" w:color="auto"/>
            <w:bottom w:val="none" w:sz="0" w:space="0" w:color="auto"/>
            <w:right w:val="none" w:sz="0" w:space="0" w:color="auto"/>
          </w:divBdr>
        </w:div>
      </w:divsChild>
    </w:div>
    <w:div w:id="678970018">
      <w:bodyDiv w:val="1"/>
      <w:marLeft w:val="0"/>
      <w:marRight w:val="0"/>
      <w:marTop w:val="0"/>
      <w:marBottom w:val="0"/>
      <w:divBdr>
        <w:top w:val="none" w:sz="0" w:space="0" w:color="auto"/>
        <w:left w:val="none" w:sz="0" w:space="0" w:color="auto"/>
        <w:bottom w:val="none" w:sz="0" w:space="0" w:color="auto"/>
        <w:right w:val="none" w:sz="0" w:space="0" w:color="auto"/>
      </w:divBdr>
    </w:div>
    <w:div w:id="694116299">
      <w:bodyDiv w:val="1"/>
      <w:marLeft w:val="0"/>
      <w:marRight w:val="0"/>
      <w:marTop w:val="0"/>
      <w:marBottom w:val="0"/>
      <w:divBdr>
        <w:top w:val="none" w:sz="0" w:space="0" w:color="auto"/>
        <w:left w:val="none" w:sz="0" w:space="0" w:color="auto"/>
        <w:bottom w:val="none" w:sz="0" w:space="0" w:color="auto"/>
        <w:right w:val="none" w:sz="0" w:space="0" w:color="auto"/>
      </w:divBdr>
    </w:div>
    <w:div w:id="876818863">
      <w:bodyDiv w:val="1"/>
      <w:marLeft w:val="0"/>
      <w:marRight w:val="0"/>
      <w:marTop w:val="0"/>
      <w:marBottom w:val="0"/>
      <w:divBdr>
        <w:top w:val="none" w:sz="0" w:space="0" w:color="auto"/>
        <w:left w:val="none" w:sz="0" w:space="0" w:color="auto"/>
        <w:bottom w:val="none" w:sz="0" w:space="0" w:color="auto"/>
        <w:right w:val="none" w:sz="0" w:space="0" w:color="auto"/>
      </w:divBdr>
    </w:div>
    <w:div w:id="1029377208">
      <w:bodyDiv w:val="1"/>
      <w:marLeft w:val="0"/>
      <w:marRight w:val="0"/>
      <w:marTop w:val="0"/>
      <w:marBottom w:val="0"/>
      <w:divBdr>
        <w:top w:val="none" w:sz="0" w:space="0" w:color="auto"/>
        <w:left w:val="none" w:sz="0" w:space="0" w:color="auto"/>
        <w:bottom w:val="none" w:sz="0" w:space="0" w:color="auto"/>
        <w:right w:val="none" w:sz="0" w:space="0" w:color="auto"/>
      </w:divBdr>
    </w:div>
    <w:div w:id="1072242995">
      <w:bodyDiv w:val="1"/>
      <w:marLeft w:val="0"/>
      <w:marRight w:val="0"/>
      <w:marTop w:val="0"/>
      <w:marBottom w:val="0"/>
      <w:divBdr>
        <w:top w:val="none" w:sz="0" w:space="0" w:color="auto"/>
        <w:left w:val="none" w:sz="0" w:space="0" w:color="auto"/>
        <w:bottom w:val="none" w:sz="0" w:space="0" w:color="auto"/>
        <w:right w:val="none" w:sz="0" w:space="0" w:color="auto"/>
      </w:divBdr>
    </w:div>
    <w:div w:id="1139952666">
      <w:bodyDiv w:val="1"/>
      <w:marLeft w:val="0"/>
      <w:marRight w:val="0"/>
      <w:marTop w:val="0"/>
      <w:marBottom w:val="0"/>
      <w:divBdr>
        <w:top w:val="none" w:sz="0" w:space="0" w:color="auto"/>
        <w:left w:val="none" w:sz="0" w:space="0" w:color="auto"/>
        <w:bottom w:val="none" w:sz="0" w:space="0" w:color="auto"/>
        <w:right w:val="none" w:sz="0" w:space="0" w:color="auto"/>
      </w:divBdr>
    </w:div>
    <w:div w:id="1214080228">
      <w:bodyDiv w:val="1"/>
      <w:marLeft w:val="0"/>
      <w:marRight w:val="0"/>
      <w:marTop w:val="0"/>
      <w:marBottom w:val="0"/>
      <w:divBdr>
        <w:top w:val="none" w:sz="0" w:space="0" w:color="auto"/>
        <w:left w:val="none" w:sz="0" w:space="0" w:color="auto"/>
        <w:bottom w:val="none" w:sz="0" w:space="0" w:color="auto"/>
        <w:right w:val="none" w:sz="0" w:space="0" w:color="auto"/>
      </w:divBdr>
    </w:div>
    <w:div w:id="1214199465">
      <w:bodyDiv w:val="1"/>
      <w:marLeft w:val="0"/>
      <w:marRight w:val="0"/>
      <w:marTop w:val="0"/>
      <w:marBottom w:val="0"/>
      <w:divBdr>
        <w:top w:val="none" w:sz="0" w:space="0" w:color="auto"/>
        <w:left w:val="none" w:sz="0" w:space="0" w:color="auto"/>
        <w:bottom w:val="none" w:sz="0" w:space="0" w:color="auto"/>
        <w:right w:val="none" w:sz="0" w:space="0" w:color="auto"/>
      </w:divBdr>
    </w:div>
    <w:div w:id="1256746484">
      <w:bodyDiv w:val="1"/>
      <w:marLeft w:val="0"/>
      <w:marRight w:val="0"/>
      <w:marTop w:val="0"/>
      <w:marBottom w:val="0"/>
      <w:divBdr>
        <w:top w:val="none" w:sz="0" w:space="0" w:color="auto"/>
        <w:left w:val="none" w:sz="0" w:space="0" w:color="auto"/>
        <w:bottom w:val="none" w:sz="0" w:space="0" w:color="auto"/>
        <w:right w:val="none" w:sz="0" w:space="0" w:color="auto"/>
      </w:divBdr>
    </w:div>
    <w:div w:id="1309942894">
      <w:bodyDiv w:val="1"/>
      <w:marLeft w:val="0"/>
      <w:marRight w:val="0"/>
      <w:marTop w:val="0"/>
      <w:marBottom w:val="0"/>
      <w:divBdr>
        <w:top w:val="none" w:sz="0" w:space="0" w:color="auto"/>
        <w:left w:val="none" w:sz="0" w:space="0" w:color="auto"/>
        <w:bottom w:val="none" w:sz="0" w:space="0" w:color="auto"/>
        <w:right w:val="none" w:sz="0" w:space="0" w:color="auto"/>
      </w:divBdr>
    </w:div>
    <w:div w:id="1509978820">
      <w:bodyDiv w:val="1"/>
      <w:marLeft w:val="0"/>
      <w:marRight w:val="0"/>
      <w:marTop w:val="0"/>
      <w:marBottom w:val="0"/>
      <w:divBdr>
        <w:top w:val="none" w:sz="0" w:space="0" w:color="auto"/>
        <w:left w:val="none" w:sz="0" w:space="0" w:color="auto"/>
        <w:bottom w:val="none" w:sz="0" w:space="0" w:color="auto"/>
        <w:right w:val="none" w:sz="0" w:space="0" w:color="auto"/>
      </w:divBdr>
    </w:div>
    <w:div w:id="1533616787">
      <w:bodyDiv w:val="1"/>
      <w:marLeft w:val="0"/>
      <w:marRight w:val="0"/>
      <w:marTop w:val="0"/>
      <w:marBottom w:val="0"/>
      <w:divBdr>
        <w:top w:val="none" w:sz="0" w:space="0" w:color="auto"/>
        <w:left w:val="none" w:sz="0" w:space="0" w:color="auto"/>
        <w:bottom w:val="none" w:sz="0" w:space="0" w:color="auto"/>
        <w:right w:val="none" w:sz="0" w:space="0" w:color="auto"/>
      </w:divBdr>
    </w:div>
    <w:div w:id="1535575637">
      <w:bodyDiv w:val="1"/>
      <w:marLeft w:val="0"/>
      <w:marRight w:val="0"/>
      <w:marTop w:val="0"/>
      <w:marBottom w:val="0"/>
      <w:divBdr>
        <w:top w:val="none" w:sz="0" w:space="0" w:color="auto"/>
        <w:left w:val="none" w:sz="0" w:space="0" w:color="auto"/>
        <w:bottom w:val="none" w:sz="0" w:space="0" w:color="auto"/>
        <w:right w:val="none" w:sz="0" w:space="0" w:color="auto"/>
      </w:divBdr>
    </w:div>
    <w:div w:id="1545100776">
      <w:bodyDiv w:val="1"/>
      <w:marLeft w:val="0"/>
      <w:marRight w:val="0"/>
      <w:marTop w:val="0"/>
      <w:marBottom w:val="0"/>
      <w:divBdr>
        <w:top w:val="none" w:sz="0" w:space="0" w:color="auto"/>
        <w:left w:val="none" w:sz="0" w:space="0" w:color="auto"/>
        <w:bottom w:val="none" w:sz="0" w:space="0" w:color="auto"/>
        <w:right w:val="none" w:sz="0" w:space="0" w:color="auto"/>
      </w:divBdr>
    </w:div>
    <w:div w:id="1571380805">
      <w:bodyDiv w:val="1"/>
      <w:marLeft w:val="0"/>
      <w:marRight w:val="0"/>
      <w:marTop w:val="0"/>
      <w:marBottom w:val="0"/>
      <w:divBdr>
        <w:top w:val="none" w:sz="0" w:space="0" w:color="auto"/>
        <w:left w:val="none" w:sz="0" w:space="0" w:color="auto"/>
        <w:bottom w:val="none" w:sz="0" w:space="0" w:color="auto"/>
        <w:right w:val="none" w:sz="0" w:space="0" w:color="auto"/>
      </w:divBdr>
    </w:div>
    <w:div w:id="1775905204">
      <w:bodyDiv w:val="1"/>
      <w:marLeft w:val="0"/>
      <w:marRight w:val="0"/>
      <w:marTop w:val="0"/>
      <w:marBottom w:val="0"/>
      <w:divBdr>
        <w:top w:val="none" w:sz="0" w:space="0" w:color="auto"/>
        <w:left w:val="none" w:sz="0" w:space="0" w:color="auto"/>
        <w:bottom w:val="none" w:sz="0" w:space="0" w:color="auto"/>
        <w:right w:val="none" w:sz="0" w:space="0" w:color="auto"/>
      </w:divBdr>
      <w:divsChild>
        <w:div w:id="483740280">
          <w:marLeft w:val="446"/>
          <w:marRight w:val="0"/>
          <w:marTop w:val="0"/>
          <w:marBottom w:val="0"/>
          <w:divBdr>
            <w:top w:val="none" w:sz="0" w:space="0" w:color="auto"/>
            <w:left w:val="none" w:sz="0" w:space="0" w:color="auto"/>
            <w:bottom w:val="none" w:sz="0" w:space="0" w:color="auto"/>
            <w:right w:val="none" w:sz="0" w:space="0" w:color="auto"/>
          </w:divBdr>
        </w:div>
        <w:div w:id="1114323881">
          <w:marLeft w:val="446"/>
          <w:marRight w:val="0"/>
          <w:marTop w:val="0"/>
          <w:marBottom w:val="0"/>
          <w:divBdr>
            <w:top w:val="none" w:sz="0" w:space="0" w:color="auto"/>
            <w:left w:val="none" w:sz="0" w:space="0" w:color="auto"/>
            <w:bottom w:val="none" w:sz="0" w:space="0" w:color="auto"/>
            <w:right w:val="none" w:sz="0" w:space="0" w:color="auto"/>
          </w:divBdr>
        </w:div>
        <w:div w:id="1277904146">
          <w:marLeft w:val="446"/>
          <w:marRight w:val="0"/>
          <w:marTop w:val="0"/>
          <w:marBottom w:val="0"/>
          <w:divBdr>
            <w:top w:val="none" w:sz="0" w:space="0" w:color="auto"/>
            <w:left w:val="none" w:sz="0" w:space="0" w:color="auto"/>
            <w:bottom w:val="none" w:sz="0" w:space="0" w:color="auto"/>
            <w:right w:val="none" w:sz="0" w:space="0" w:color="auto"/>
          </w:divBdr>
        </w:div>
      </w:divsChild>
    </w:div>
    <w:div w:id="1849519815">
      <w:bodyDiv w:val="1"/>
      <w:marLeft w:val="0"/>
      <w:marRight w:val="0"/>
      <w:marTop w:val="0"/>
      <w:marBottom w:val="0"/>
      <w:divBdr>
        <w:top w:val="none" w:sz="0" w:space="0" w:color="auto"/>
        <w:left w:val="none" w:sz="0" w:space="0" w:color="auto"/>
        <w:bottom w:val="none" w:sz="0" w:space="0" w:color="auto"/>
        <w:right w:val="none" w:sz="0" w:space="0" w:color="auto"/>
      </w:divBdr>
    </w:div>
    <w:div w:id="1928154169">
      <w:bodyDiv w:val="1"/>
      <w:marLeft w:val="0"/>
      <w:marRight w:val="0"/>
      <w:marTop w:val="0"/>
      <w:marBottom w:val="0"/>
      <w:divBdr>
        <w:top w:val="none" w:sz="0" w:space="0" w:color="auto"/>
        <w:left w:val="none" w:sz="0" w:space="0" w:color="auto"/>
        <w:bottom w:val="none" w:sz="0" w:space="0" w:color="auto"/>
        <w:right w:val="none" w:sz="0" w:space="0" w:color="auto"/>
      </w:divBdr>
    </w:div>
    <w:div w:id="2063402570">
      <w:bodyDiv w:val="1"/>
      <w:marLeft w:val="0"/>
      <w:marRight w:val="0"/>
      <w:marTop w:val="0"/>
      <w:marBottom w:val="0"/>
      <w:divBdr>
        <w:top w:val="none" w:sz="0" w:space="0" w:color="auto"/>
        <w:left w:val="none" w:sz="0" w:space="0" w:color="auto"/>
        <w:bottom w:val="none" w:sz="0" w:space="0" w:color="auto"/>
        <w:right w:val="none" w:sz="0" w:space="0" w:color="auto"/>
      </w:divBdr>
      <w:divsChild>
        <w:div w:id="22361645">
          <w:marLeft w:val="0"/>
          <w:marRight w:val="0"/>
          <w:marTop w:val="0"/>
          <w:marBottom w:val="0"/>
          <w:divBdr>
            <w:top w:val="none" w:sz="0" w:space="0" w:color="auto"/>
            <w:left w:val="none" w:sz="0" w:space="0" w:color="auto"/>
            <w:bottom w:val="none" w:sz="0" w:space="0" w:color="auto"/>
            <w:right w:val="none" w:sz="0" w:space="0" w:color="auto"/>
          </w:divBdr>
        </w:div>
      </w:divsChild>
    </w:div>
    <w:div w:id="2069717579">
      <w:bodyDiv w:val="1"/>
      <w:marLeft w:val="0"/>
      <w:marRight w:val="0"/>
      <w:marTop w:val="0"/>
      <w:marBottom w:val="0"/>
      <w:divBdr>
        <w:top w:val="none" w:sz="0" w:space="0" w:color="auto"/>
        <w:left w:val="none" w:sz="0" w:space="0" w:color="auto"/>
        <w:bottom w:val="none" w:sz="0" w:space="0" w:color="auto"/>
        <w:right w:val="none" w:sz="0" w:space="0" w:color="auto"/>
      </w:divBdr>
    </w:div>
    <w:div w:id="211998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F595F-6720-4C66-B684-FCFBC3465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5048</Words>
  <Characters>28776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 Doh</dc:creator>
  <cp:keywords/>
  <dc:description/>
  <cp:lastModifiedBy>Neil Pollock</cp:lastModifiedBy>
  <cp:revision>6</cp:revision>
  <dcterms:created xsi:type="dcterms:W3CDTF">2025-01-14T06:33:00Z</dcterms:created>
  <dcterms:modified xsi:type="dcterms:W3CDTF">2025-01-14T07:53:00Z</dcterms:modified>
</cp:coreProperties>
</file>